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3D82A" w14:textId="4D96AA84" w:rsidR="00CB058A" w:rsidRPr="00487495" w:rsidRDefault="001A6129" w:rsidP="001A6129">
      <w:pPr>
        <w:spacing w:after="0" w:line="312" w:lineRule="auto"/>
        <w:ind w:left="4956" w:firstLine="708"/>
        <w:rPr>
          <w:rFonts w:ascii="Times New Roman" w:hAnsi="Times New Roman" w:cs="Times New Roman"/>
          <w:i/>
          <w:sz w:val="24"/>
          <w:szCs w:val="24"/>
        </w:rPr>
      </w:pPr>
      <w:bookmarkStart w:id="0" w:name="_GoBack"/>
      <w:bookmarkEnd w:id="0"/>
      <w:r>
        <w:rPr>
          <w:rFonts w:ascii="Times New Roman" w:hAnsi="Times New Roman" w:cs="Times New Roman"/>
          <w:i/>
          <w:sz w:val="24"/>
          <w:szCs w:val="24"/>
        </w:rPr>
        <w:t>9 października</w:t>
      </w:r>
      <w:r w:rsidR="00487495">
        <w:rPr>
          <w:rFonts w:ascii="Times New Roman" w:hAnsi="Times New Roman" w:cs="Times New Roman"/>
          <w:i/>
          <w:sz w:val="24"/>
          <w:szCs w:val="24"/>
        </w:rPr>
        <w:t xml:space="preserve"> </w:t>
      </w:r>
      <w:r w:rsidR="004C7B08" w:rsidRPr="00487495">
        <w:rPr>
          <w:rFonts w:ascii="Times New Roman" w:hAnsi="Times New Roman" w:cs="Times New Roman"/>
          <w:i/>
          <w:sz w:val="24"/>
          <w:szCs w:val="24"/>
        </w:rPr>
        <w:t>2020</w:t>
      </w:r>
      <w:r w:rsidR="00CB058A" w:rsidRPr="00487495">
        <w:rPr>
          <w:rFonts w:ascii="Times New Roman" w:hAnsi="Times New Roman" w:cs="Times New Roman"/>
          <w:i/>
          <w:sz w:val="24"/>
          <w:szCs w:val="24"/>
        </w:rPr>
        <w:t xml:space="preserve"> r. </w:t>
      </w:r>
    </w:p>
    <w:p w14:paraId="1908C509" w14:textId="77777777" w:rsidR="00CB058A" w:rsidRPr="00487495" w:rsidRDefault="00CB058A" w:rsidP="00487495">
      <w:pPr>
        <w:spacing w:after="0" w:line="312" w:lineRule="auto"/>
        <w:jc w:val="both"/>
        <w:rPr>
          <w:rFonts w:ascii="Times New Roman" w:hAnsi="Times New Roman" w:cs="Times New Roman"/>
          <w:i/>
          <w:sz w:val="24"/>
          <w:szCs w:val="24"/>
        </w:rPr>
      </w:pPr>
    </w:p>
    <w:p w14:paraId="1206ADF6" w14:textId="77777777" w:rsidR="00487495" w:rsidRDefault="00CB058A" w:rsidP="00487495">
      <w:pPr>
        <w:spacing w:after="0" w:line="312" w:lineRule="auto"/>
        <w:jc w:val="center"/>
        <w:rPr>
          <w:rFonts w:ascii="Times New Roman" w:hAnsi="Times New Roman" w:cs="Times New Roman"/>
          <w:b/>
          <w:sz w:val="24"/>
          <w:szCs w:val="24"/>
        </w:rPr>
      </w:pPr>
      <w:r w:rsidRPr="00487495">
        <w:rPr>
          <w:rFonts w:ascii="Times New Roman" w:hAnsi="Times New Roman" w:cs="Times New Roman"/>
          <w:b/>
          <w:sz w:val="24"/>
          <w:szCs w:val="24"/>
        </w:rPr>
        <w:t xml:space="preserve">RAPORT Z KONSULTACJI PUBLICZNYCH </w:t>
      </w:r>
      <w:r w:rsidR="00A05464" w:rsidRPr="00487495">
        <w:rPr>
          <w:rFonts w:ascii="Times New Roman" w:hAnsi="Times New Roman" w:cs="Times New Roman"/>
          <w:b/>
          <w:sz w:val="24"/>
          <w:szCs w:val="24"/>
        </w:rPr>
        <w:t xml:space="preserve">I OPINIOWANIA </w:t>
      </w:r>
    </w:p>
    <w:p w14:paraId="344F3FC9" w14:textId="0305D69B" w:rsidR="00C46E6D" w:rsidRPr="00487495" w:rsidRDefault="00CB058A" w:rsidP="00487495">
      <w:pPr>
        <w:spacing w:after="0" w:line="312" w:lineRule="auto"/>
        <w:jc w:val="center"/>
        <w:rPr>
          <w:rFonts w:ascii="Times New Roman" w:hAnsi="Times New Roman" w:cs="Times New Roman"/>
          <w:b/>
          <w:sz w:val="24"/>
          <w:szCs w:val="24"/>
        </w:rPr>
      </w:pPr>
      <w:r w:rsidRPr="00487495">
        <w:rPr>
          <w:rFonts w:ascii="Times New Roman" w:hAnsi="Times New Roman" w:cs="Times New Roman"/>
          <w:b/>
          <w:sz w:val="24"/>
          <w:szCs w:val="24"/>
        </w:rPr>
        <w:t xml:space="preserve">PROJEKTU </w:t>
      </w:r>
      <w:r w:rsidR="00A05464" w:rsidRPr="00487495">
        <w:rPr>
          <w:rFonts w:ascii="Times New Roman" w:hAnsi="Times New Roman" w:cs="Times New Roman"/>
          <w:b/>
          <w:sz w:val="24"/>
          <w:szCs w:val="24"/>
        </w:rPr>
        <w:t xml:space="preserve">USTAWY </w:t>
      </w:r>
      <w:r w:rsidR="00C46E6D" w:rsidRPr="00487495">
        <w:rPr>
          <w:rFonts w:ascii="Times New Roman" w:hAnsi="Times New Roman" w:cs="Times New Roman"/>
          <w:b/>
          <w:sz w:val="24"/>
          <w:szCs w:val="24"/>
        </w:rPr>
        <w:t xml:space="preserve">O ZMIANIE USTAWY O WJEŹDZIE NA TERYTORIUM RZECZYPOSPOLITEJ POLSKIEJ, POBYCIE ORAZ WYJEŹDZIE Z TEGO TERYTORIUM OBYWATELI PAŃSTW CZŁONKOWSKICH UNII EUROPEJSKIEJ I CZŁONKÓW ICH RODZIN </w:t>
      </w:r>
    </w:p>
    <w:p w14:paraId="1391D12B" w14:textId="62C4D5E9" w:rsidR="00CB058A" w:rsidRPr="00487495" w:rsidRDefault="00C46E6D" w:rsidP="00487495">
      <w:pPr>
        <w:spacing w:after="0" w:line="312" w:lineRule="auto"/>
        <w:jc w:val="center"/>
        <w:rPr>
          <w:rFonts w:ascii="Times New Roman" w:hAnsi="Times New Roman" w:cs="Times New Roman"/>
          <w:sz w:val="24"/>
          <w:szCs w:val="24"/>
        </w:rPr>
      </w:pPr>
      <w:r w:rsidRPr="00487495">
        <w:rPr>
          <w:rFonts w:ascii="Times New Roman" w:hAnsi="Times New Roman" w:cs="Times New Roman"/>
          <w:b/>
          <w:sz w:val="24"/>
          <w:szCs w:val="24"/>
        </w:rPr>
        <w:t>ORAZ NIEKTÓRYCH INNYCH USTAW</w:t>
      </w:r>
    </w:p>
    <w:p w14:paraId="1B83F5EE" w14:textId="77777777" w:rsidR="00487495" w:rsidRDefault="00487495" w:rsidP="00487495">
      <w:pPr>
        <w:spacing w:after="0" w:line="312" w:lineRule="auto"/>
        <w:jc w:val="both"/>
        <w:rPr>
          <w:rFonts w:ascii="Times New Roman" w:hAnsi="Times New Roman" w:cs="Times New Roman"/>
          <w:b/>
          <w:sz w:val="24"/>
          <w:szCs w:val="24"/>
        </w:rPr>
      </w:pPr>
    </w:p>
    <w:p w14:paraId="6EDE8227" w14:textId="77777777" w:rsidR="00403005" w:rsidRDefault="00403005" w:rsidP="00487495">
      <w:pPr>
        <w:spacing w:after="0" w:line="312" w:lineRule="auto"/>
        <w:jc w:val="both"/>
        <w:rPr>
          <w:rFonts w:ascii="Times New Roman" w:hAnsi="Times New Roman" w:cs="Times New Roman"/>
          <w:b/>
          <w:sz w:val="24"/>
          <w:szCs w:val="24"/>
        </w:rPr>
      </w:pPr>
    </w:p>
    <w:p w14:paraId="5C121248" w14:textId="08819930" w:rsidR="00CB058A" w:rsidRPr="00487495" w:rsidRDefault="00CB058A"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1. Informacje ogólne</w:t>
      </w:r>
    </w:p>
    <w:p w14:paraId="08B84045" w14:textId="451D964B" w:rsidR="00CB058A" w:rsidRPr="00487495" w:rsidRDefault="00CB058A" w:rsidP="00F61A14">
      <w:pPr>
        <w:spacing w:after="0" w:line="312" w:lineRule="auto"/>
        <w:ind w:firstLine="708"/>
        <w:jc w:val="both"/>
        <w:rPr>
          <w:rFonts w:ascii="Times New Roman" w:hAnsi="Times New Roman" w:cs="Times New Roman"/>
          <w:sz w:val="24"/>
          <w:szCs w:val="24"/>
        </w:rPr>
      </w:pPr>
      <w:r w:rsidRPr="00487495">
        <w:rPr>
          <w:rFonts w:ascii="Times New Roman" w:hAnsi="Times New Roman" w:cs="Times New Roman"/>
          <w:sz w:val="24"/>
          <w:szCs w:val="24"/>
        </w:rPr>
        <w:t xml:space="preserve">Zgodnie z § 36 uchwały nr 190 Rady Ministrów z dnia 29 października 2013 r. </w:t>
      </w:r>
      <w:r w:rsidR="00F61A14">
        <w:rPr>
          <w:rFonts w:ascii="Times New Roman" w:hAnsi="Times New Roman" w:cs="Times New Roman"/>
          <w:sz w:val="24"/>
          <w:szCs w:val="24"/>
        </w:rPr>
        <w:t>–</w:t>
      </w:r>
      <w:r w:rsidRPr="00487495">
        <w:rPr>
          <w:rFonts w:ascii="Times New Roman" w:hAnsi="Times New Roman" w:cs="Times New Roman"/>
          <w:sz w:val="24"/>
          <w:szCs w:val="24"/>
        </w:rPr>
        <w:t xml:space="preserve"> Regulamin pracy Rady Ministrów (M. P.</w:t>
      </w:r>
      <w:r w:rsidR="00E510C9" w:rsidRPr="00487495">
        <w:rPr>
          <w:rFonts w:ascii="Times New Roman" w:hAnsi="Times New Roman" w:cs="Times New Roman"/>
          <w:sz w:val="24"/>
          <w:szCs w:val="24"/>
        </w:rPr>
        <w:t xml:space="preserve"> z 2016 r. poz. 1006</w:t>
      </w:r>
      <w:r w:rsidR="00BE7ABB" w:rsidRPr="00487495">
        <w:rPr>
          <w:rFonts w:ascii="Times New Roman" w:hAnsi="Times New Roman" w:cs="Times New Roman"/>
          <w:sz w:val="24"/>
          <w:szCs w:val="24"/>
        </w:rPr>
        <w:t xml:space="preserve">, z </w:t>
      </w:r>
      <w:proofErr w:type="spellStart"/>
      <w:r w:rsidR="00BE7ABB" w:rsidRPr="00487495">
        <w:rPr>
          <w:rFonts w:ascii="Times New Roman" w:hAnsi="Times New Roman" w:cs="Times New Roman"/>
          <w:sz w:val="24"/>
          <w:szCs w:val="24"/>
        </w:rPr>
        <w:t>późn</w:t>
      </w:r>
      <w:proofErr w:type="spellEnd"/>
      <w:r w:rsidR="00BE7ABB" w:rsidRPr="00487495">
        <w:rPr>
          <w:rFonts w:ascii="Times New Roman" w:hAnsi="Times New Roman" w:cs="Times New Roman"/>
          <w:sz w:val="24"/>
          <w:szCs w:val="24"/>
        </w:rPr>
        <w:t>. zm.</w:t>
      </w:r>
      <w:r w:rsidRPr="00487495">
        <w:rPr>
          <w:rFonts w:ascii="Times New Roman" w:hAnsi="Times New Roman" w:cs="Times New Roman"/>
          <w:sz w:val="24"/>
          <w:szCs w:val="24"/>
        </w:rPr>
        <w:t xml:space="preserve">) projekty założeń projektów ustaw, projekty ustaw lub projekty rozporządzeń przedstawia się do konsultacji publicznych, w tym konsultacji z organizacjami społecznymi lub innymi zainteresowanymi podmiotami albo instytucjami w celu przedstawienia ich stanowiska. Niniejszy dokument stanowi wypełnienie obowiązku, o którym mowa w § 51 ust. 1 Regulaminu, zgodnie z którym organ wnioskujący sporządza raport z konsultacji obejmujący omówienie wyników przeprowadzonych konsultacji publicznych i opiniowania. </w:t>
      </w:r>
    </w:p>
    <w:p w14:paraId="1F865688" w14:textId="53D45DC0" w:rsidR="00CB058A" w:rsidRPr="00487495" w:rsidRDefault="00CB058A" w:rsidP="00487495">
      <w:pPr>
        <w:spacing w:after="0" w:line="312" w:lineRule="auto"/>
        <w:ind w:firstLine="708"/>
        <w:jc w:val="both"/>
        <w:rPr>
          <w:rFonts w:ascii="Times New Roman" w:hAnsi="Times New Roman" w:cs="Times New Roman"/>
          <w:sz w:val="24"/>
          <w:szCs w:val="24"/>
        </w:rPr>
      </w:pPr>
      <w:r w:rsidRPr="00487495">
        <w:rPr>
          <w:rFonts w:ascii="Times New Roman" w:hAnsi="Times New Roman" w:cs="Times New Roman"/>
          <w:sz w:val="24"/>
          <w:szCs w:val="24"/>
        </w:rPr>
        <w:t xml:space="preserve">Na podstawie art. 5 ustawy z dnia 7 lipca 2005 r. o działalności lobbingowej w procesie stanowienia prawa (Dz. U. </w:t>
      </w:r>
      <w:r w:rsidR="004C7B08" w:rsidRPr="00487495">
        <w:rPr>
          <w:rFonts w:ascii="Times New Roman" w:hAnsi="Times New Roman" w:cs="Times New Roman"/>
          <w:sz w:val="24"/>
          <w:szCs w:val="24"/>
        </w:rPr>
        <w:t>z 2017</w:t>
      </w:r>
      <w:r w:rsidR="00BE7ABB" w:rsidRPr="00487495">
        <w:rPr>
          <w:rFonts w:ascii="Times New Roman" w:hAnsi="Times New Roman" w:cs="Times New Roman"/>
          <w:sz w:val="24"/>
          <w:szCs w:val="24"/>
        </w:rPr>
        <w:t xml:space="preserve"> </w:t>
      </w:r>
      <w:r w:rsidR="004C7B08" w:rsidRPr="00487495">
        <w:rPr>
          <w:rFonts w:ascii="Times New Roman" w:hAnsi="Times New Roman" w:cs="Times New Roman"/>
          <w:sz w:val="24"/>
          <w:szCs w:val="24"/>
        </w:rPr>
        <w:t>r. poz. 248</w:t>
      </w:r>
      <w:r w:rsidR="00BE7ABB" w:rsidRPr="00487495">
        <w:rPr>
          <w:rFonts w:ascii="Times New Roman" w:hAnsi="Times New Roman" w:cs="Times New Roman"/>
          <w:sz w:val="24"/>
          <w:szCs w:val="24"/>
        </w:rPr>
        <w:t>) projektowana ustawa została</w:t>
      </w:r>
      <w:r w:rsidR="00F61A14">
        <w:rPr>
          <w:rFonts w:ascii="Times New Roman" w:hAnsi="Times New Roman" w:cs="Times New Roman"/>
          <w:sz w:val="24"/>
          <w:szCs w:val="24"/>
        </w:rPr>
        <w:t xml:space="preserve"> udostępniona</w:t>
      </w:r>
      <w:r w:rsidRPr="00487495">
        <w:rPr>
          <w:rFonts w:ascii="Times New Roman" w:hAnsi="Times New Roman" w:cs="Times New Roman"/>
          <w:sz w:val="24"/>
          <w:szCs w:val="24"/>
        </w:rPr>
        <w:t xml:space="preserve"> na stronie podmiotowej Biuletynu Informacji Publicznej Ministerstwa </w:t>
      </w:r>
      <w:r w:rsidR="00A05464" w:rsidRPr="00487495">
        <w:rPr>
          <w:rFonts w:ascii="Times New Roman" w:hAnsi="Times New Roman" w:cs="Times New Roman"/>
          <w:sz w:val="24"/>
          <w:szCs w:val="24"/>
        </w:rPr>
        <w:t>Spraw Wewnętrznych</w:t>
      </w:r>
      <w:r w:rsidR="004C7B08" w:rsidRPr="00487495">
        <w:rPr>
          <w:rFonts w:ascii="Times New Roman" w:hAnsi="Times New Roman" w:cs="Times New Roman"/>
          <w:sz w:val="24"/>
          <w:szCs w:val="24"/>
        </w:rPr>
        <w:t xml:space="preserve"> </w:t>
      </w:r>
      <w:r w:rsidR="00F61A14">
        <w:rPr>
          <w:rFonts w:ascii="Times New Roman" w:hAnsi="Times New Roman" w:cs="Times New Roman"/>
          <w:sz w:val="24"/>
          <w:szCs w:val="24"/>
        </w:rPr>
        <w:br/>
      </w:r>
      <w:r w:rsidR="004C7B08" w:rsidRPr="00487495">
        <w:rPr>
          <w:rFonts w:ascii="Times New Roman" w:hAnsi="Times New Roman" w:cs="Times New Roman"/>
          <w:sz w:val="24"/>
          <w:szCs w:val="24"/>
        </w:rPr>
        <w:t>i Administracji</w:t>
      </w:r>
      <w:r w:rsidRPr="00487495">
        <w:rPr>
          <w:rFonts w:ascii="Times New Roman" w:hAnsi="Times New Roman" w:cs="Times New Roman"/>
          <w:sz w:val="24"/>
          <w:szCs w:val="24"/>
        </w:rPr>
        <w:t xml:space="preserve"> oraz na stronie Rządowego Centru</w:t>
      </w:r>
      <w:r w:rsidR="00A05464" w:rsidRPr="00487495">
        <w:rPr>
          <w:rFonts w:ascii="Times New Roman" w:hAnsi="Times New Roman" w:cs="Times New Roman"/>
          <w:sz w:val="24"/>
          <w:szCs w:val="24"/>
        </w:rPr>
        <w:t xml:space="preserve">m Legislacji. </w:t>
      </w:r>
      <w:r w:rsidRPr="00487495">
        <w:rPr>
          <w:rFonts w:ascii="Times New Roman" w:hAnsi="Times New Roman" w:cs="Times New Roman"/>
          <w:sz w:val="24"/>
          <w:szCs w:val="24"/>
        </w:rPr>
        <w:t>Dodat</w:t>
      </w:r>
      <w:r w:rsidR="004C7B08" w:rsidRPr="00487495">
        <w:rPr>
          <w:rFonts w:ascii="Times New Roman" w:hAnsi="Times New Roman" w:cs="Times New Roman"/>
          <w:sz w:val="24"/>
          <w:szCs w:val="24"/>
        </w:rPr>
        <w:t xml:space="preserve">kowo projekt został skierowany </w:t>
      </w:r>
      <w:r w:rsidRPr="00487495">
        <w:rPr>
          <w:rFonts w:ascii="Times New Roman" w:hAnsi="Times New Roman" w:cs="Times New Roman"/>
          <w:sz w:val="24"/>
          <w:szCs w:val="24"/>
        </w:rPr>
        <w:t xml:space="preserve">do podmiotów, które w ocenie Ministerstwa </w:t>
      </w:r>
      <w:r w:rsidR="00A05464" w:rsidRPr="00487495">
        <w:rPr>
          <w:rFonts w:ascii="Times New Roman" w:hAnsi="Times New Roman" w:cs="Times New Roman"/>
          <w:sz w:val="24"/>
          <w:szCs w:val="24"/>
        </w:rPr>
        <w:t>Spraw Wewnętrznych</w:t>
      </w:r>
      <w:r w:rsidRPr="00487495">
        <w:rPr>
          <w:rFonts w:ascii="Times New Roman" w:hAnsi="Times New Roman" w:cs="Times New Roman"/>
          <w:sz w:val="24"/>
          <w:szCs w:val="24"/>
        </w:rPr>
        <w:t xml:space="preserve"> </w:t>
      </w:r>
      <w:r w:rsidR="004C7B08" w:rsidRPr="00487495">
        <w:rPr>
          <w:rFonts w:ascii="Times New Roman" w:hAnsi="Times New Roman" w:cs="Times New Roman"/>
          <w:sz w:val="24"/>
          <w:szCs w:val="24"/>
        </w:rPr>
        <w:t xml:space="preserve">i Administracji </w:t>
      </w:r>
      <w:r w:rsidRPr="00487495">
        <w:rPr>
          <w:rFonts w:ascii="Times New Roman" w:hAnsi="Times New Roman" w:cs="Times New Roman"/>
          <w:sz w:val="24"/>
          <w:szCs w:val="24"/>
        </w:rPr>
        <w:t xml:space="preserve">mogły być nim zainteresowane. </w:t>
      </w:r>
    </w:p>
    <w:p w14:paraId="7FB27379" w14:textId="77777777" w:rsidR="00CB058A" w:rsidRPr="00487495" w:rsidRDefault="00CB058A" w:rsidP="00487495">
      <w:pPr>
        <w:spacing w:after="0" w:line="312" w:lineRule="auto"/>
        <w:jc w:val="both"/>
        <w:rPr>
          <w:rFonts w:ascii="Times New Roman" w:hAnsi="Times New Roman" w:cs="Times New Roman"/>
          <w:sz w:val="24"/>
          <w:szCs w:val="24"/>
        </w:rPr>
      </w:pPr>
    </w:p>
    <w:p w14:paraId="7C04E183" w14:textId="77777777" w:rsidR="00CB058A" w:rsidRPr="00487495" w:rsidRDefault="00CB058A"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2. Przebieg konsultacji</w:t>
      </w:r>
    </w:p>
    <w:p w14:paraId="285E922A" w14:textId="77777777" w:rsidR="00A05464" w:rsidRPr="00487495" w:rsidRDefault="00A05464" w:rsidP="00487495">
      <w:p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W ramach konsultacji publicznych projekt został przekazany:</w:t>
      </w:r>
    </w:p>
    <w:p w14:paraId="454B64AF" w14:textId="5ED3A0DE"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wojewodom;</w:t>
      </w:r>
    </w:p>
    <w:p w14:paraId="786267EF" w14:textId="5E258244"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Komisji Wspólnej Rządu i Samorządu Terytorialnego;</w:t>
      </w:r>
    </w:p>
    <w:p w14:paraId="723A3E46" w14:textId="4646FDE6"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Rzecznikowi Praw Obywatelskich;</w:t>
      </w:r>
    </w:p>
    <w:p w14:paraId="3F73E669" w14:textId="24589C75"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Rzecznikowi Praw Dziecka;</w:t>
      </w:r>
    </w:p>
    <w:p w14:paraId="5C5B2209" w14:textId="6EFE18C5"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Rzecznikowi Małych i Średnich Przedsiębiorców;</w:t>
      </w:r>
    </w:p>
    <w:p w14:paraId="2F358F95" w14:textId="7F1A16C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Helsińskiej Fundacji Praw Człowieka;</w:t>
      </w:r>
    </w:p>
    <w:p w14:paraId="34D21894" w14:textId="61752CBB"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Konfederacji „Lewiatan”;</w:t>
      </w:r>
    </w:p>
    <w:p w14:paraId="7B05AA3F" w14:textId="5254498E"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Business Centre Club – Związkowi Pracodawców;</w:t>
      </w:r>
    </w:p>
    <w:p w14:paraId="236133D7" w14:textId="20341A14"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Pracodawcom Rzeczypospolitej Polskiej</w:t>
      </w:r>
    </w:p>
    <w:p w14:paraId="630E89CF" w14:textId="22C0C6C1"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Europejskiej Unii Małych i Średnich Przedsiębiorstw oraz Klasy Średniej UNICORN;</w:t>
      </w:r>
    </w:p>
    <w:p w14:paraId="3FC9A7B6" w14:textId="1233366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Międzynarodowej Organizacji do Spraw Migracji (IOM);</w:t>
      </w:r>
    </w:p>
    <w:p w14:paraId="3633BEF8" w14:textId="7FD2FFFD"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lastRenderedPageBreak/>
        <w:t>Wysokiemu Komisarzowi Narodów Zjednoczonych ds. Uchodźców (UNHCR);</w:t>
      </w:r>
    </w:p>
    <w:p w14:paraId="7A31FF5D" w14:textId="7D0CB2A5"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Sekcji Praw Człowieka Uniwersyteckiej Poradni Prawnej UJ;</w:t>
      </w:r>
    </w:p>
    <w:p w14:paraId="6B1E99BB" w14:textId="3C4C321D"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 xml:space="preserve">Stowarzyszeniu </w:t>
      </w:r>
      <w:proofErr w:type="spellStart"/>
      <w:r w:rsidRPr="00487495">
        <w:rPr>
          <w:rFonts w:ascii="Times New Roman" w:eastAsia="Times New Roman" w:hAnsi="Times New Roman" w:cs="Times New Roman"/>
          <w:sz w:val="24"/>
          <w:szCs w:val="24"/>
          <w:lang w:eastAsia="pl-PL"/>
        </w:rPr>
        <w:t>Amnesty</w:t>
      </w:r>
      <w:proofErr w:type="spellEnd"/>
      <w:r w:rsidRPr="00487495">
        <w:rPr>
          <w:rFonts w:ascii="Times New Roman" w:eastAsia="Times New Roman" w:hAnsi="Times New Roman" w:cs="Times New Roman"/>
          <w:sz w:val="24"/>
          <w:szCs w:val="24"/>
          <w:lang w:eastAsia="pl-PL"/>
        </w:rPr>
        <w:t xml:space="preserve"> International;</w:t>
      </w:r>
    </w:p>
    <w:p w14:paraId="0FFC7A05" w14:textId="4E89CDFE"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Refugee.pl;</w:t>
      </w:r>
    </w:p>
    <w:p w14:paraId="63E1D89F" w14:textId="52D01A50"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Instytutowi na Rzecz Państwa Prawa;</w:t>
      </w:r>
    </w:p>
    <w:p w14:paraId="6A403E8D" w14:textId="38AE4E40"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Stowarzyszeniu Interwencji Prawnej;</w:t>
      </w:r>
    </w:p>
    <w:p w14:paraId="3DAC8B8D" w14:textId="586F7DC2"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Centrum Pomocy Prawnej im. Haliny Nieć;</w:t>
      </w:r>
    </w:p>
    <w:p w14:paraId="1F728262" w14:textId="3B50E96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Stowarzyszeniu „Emigrant”;</w:t>
      </w:r>
    </w:p>
    <w:p w14:paraId="07009B22" w14:textId="436280EC"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Caritas Polska;</w:t>
      </w:r>
    </w:p>
    <w:p w14:paraId="3D4C1D4D" w14:textId="14E7332D"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Panoptykon;</w:t>
      </w:r>
    </w:p>
    <w:p w14:paraId="2C0CE46C" w14:textId="0E1C7FF8"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Ocalenie;</w:t>
      </w:r>
    </w:p>
    <w:p w14:paraId="05A3C7B9" w14:textId="0A4F6FDB"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 xml:space="preserve">Fundacji </w:t>
      </w:r>
      <w:proofErr w:type="spellStart"/>
      <w:r w:rsidRPr="00487495">
        <w:rPr>
          <w:rFonts w:ascii="Times New Roman" w:eastAsia="Times New Roman" w:hAnsi="Times New Roman" w:cs="Times New Roman"/>
          <w:sz w:val="24"/>
          <w:szCs w:val="24"/>
          <w:lang w:eastAsia="pl-PL"/>
        </w:rPr>
        <w:t>Multiocalenie</w:t>
      </w:r>
      <w:proofErr w:type="spellEnd"/>
      <w:r w:rsidRPr="00487495">
        <w:rPr>
          <w:rFonts w:ascii="Times New Roman" w:eastAsia="Times New Roman" w:hAnsi="Times New Roman" w:cs="Times New Roman"/>
          <w:sz w:val="24"/>
          <w:szCs w:val="24"/>
          <w:lang w:eastAsia="pl-PL"/>
        </w:rPr>
        <w:t>;</w:t>
      </w:r>
    </w:p>
    <w:p w14:paraId="7731B86E" w14:textId="6AB0A863"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Rozwoju Oprócz Granic;</w:t>
      </w:r>
    </w:p>
    <w:p w14:paraId="497D44F4" w14:textId="1D2F8F0F"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Rozwoju Systemu Edukacji;</w:t>
      </w:r>
    </w:p>
    <w:p w14:paraId="65CB1B2E" w14:textId="376DBCD5"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Komisji Dialogu Społecznego ds. Cudzoziemców działającej przy Centrum Komunikacji Społecznej Urzędu m.st.</w:t>
      </w:r>
    </w:p>
    <w:p w14:paraId="3BDEAC0C" w14:textId="7777777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Warszawy;</w:t>
      </w:r>
    </w:p>
    <w:p w14:paraId="687B1742" w14:textId="44A08729"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Polskiej Organizacji Turystycznej;</w:t>
      </w:r>
    </w:p>
    <w:p w14:paraId="55382314" w14:textId="10057FA1"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Polskiej Izbie Turystyki;</w:t>
      </w:r>
    </w:p>
    <w:p w14:paraId="65A6A9E1" w14:textId="3548A1A5" w:rsidR="00C46E6D" w:rsidRPr="00487495" w:rsidRDefault="00D35566"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Brytyjsko-Polskiej</w:t>
      </w:r>
      <w:r w:rsidR="00C46E6D" w:rsidRPr="00487495">
        <w:rPr>
          <w:rFonts w:ascii="Times New Roman" w:eastAsia="Times New Roman" w:hAnsi="Times New Roman" w:cs="Times New Roman"/>
          <w:sz w:val="24"/>
          <w:szCs w:val="24"/>
          <w:lang w:eastAsia="pl-PL"/>
        </w:rPr>
        <w:t xml:space="preserve"> Izbie Handlowej;</w:t>
      </w:r>
    </w:p>
    <w:p w14:paraId="45D000FE" w14:textId="77542302"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Federacji Związków Pracodawców Ochrony Zdrowia „Porozumienie Zielonogórskie”;</w:t>
      </w:r>
    </w:p>
    <w:p w14:paraId="57C2EB76" w14:textId="4B24E52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Ogólnopolskiemu Porozumieniu Związków Zawodowych;</w:t>
      </w:r>
    </w:p>
    <w:p w14:paraId="6BCFE9E0" w14:textId="6CAA8A76"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Niezależnemu Samorządnemu Związkowi Zawodowemu „Solidarność”;</w:t>
      </w:r>
    </w:p>
    <w:p w14:paraId="224C38AD" w14:textId="47DC46F8"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Forum Związków Zawodowych;</w:t>
      </w:r>
    </w:p>
    <w:p w14:paraId="612719E4" w14:textId="30B64A03"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Związkowi Rzemiosła Polskiego;</w:t>
      </w:r>
    </w:p>
    <w:p w14:paraId="34191FE3" w14:textId="627CE59D"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Związkowi Przedsiębiorców i Pracodawców;</w:t>
      </w:r>
    </w:p>
    <w:p w14:paraId="42E91C0F" w14:textId="25C57AFC"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Fundacji Republikańskiej;</w:t>
      </w:r>
    </w:p>
    <w:p w14:paraId="715A0029" w14:textId="639EB1C7" w:rsidR="00C46E6D" w:rsidRPr="00487495" w:rsidRDefault="00C46E6D" w:rsidP="00487495">
      <w:pPr>
        <w:pStyle w:val="Akapitzlist"/>
        <w:widowControl w:val="0"/>
        <w:numPr>
          <w:ilvl w:val="0"/>
          <w:numId w:val="36"/>
        </w:numPr>
        <w:autoSpaceDE w:val="0"/>
        <w:autoSpaceDN w:val="0"/>
        <w:adjustRightInd w:val="0"/>
        <w:spacing w:after="0" w:line="312" w:lineRule="auto"/>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 xml:space="preserve">Federacji Przedsiębiorców Polskich. </w:t>
      </w:r>
    </w:p>
    <w:p w14:paraId="7B15D33B" w14:textId="14433521" w:rsidR="00857995" w:rsidRPr="00487495" w:rsidRDefault="00857995" w:rsidP="00487495">
      <w:pPr>
        <w:widowControl w:val="0"/>
        <w:autoSpaceDE w:val="0"/>
        <w:autoSpaceDN w:val="0"/>
        <w:adjustRightInd w:val="0"/>
        <w:spacing w:after="0" w:line="312" w:lineRule="auto"/>
        <w:ind w:firstLine="708"/>
        <w:jc w:val="both"/>
        <w:rPr>
          <w:rFonts w:ascii="Times New Roman" w:eastAsia="Times New Roman" w:hAnsi="Times New Roman" w:cs="Times New Roman"/>
          <w:sz w:val="24"/>
          <w:szCs w:val="24"/>
          <w:lang w:eastAsia="pl-PL"/>
        </w:rPr>
      </w:pPr>
      <w:r w:rsidRPr="00487495">
        <w:rPr>
          <w:rFonts w:ascii="Times New Roman" w:eastAsia="Times New Roman" w:hAnsi="Times New Roman" w:cs="Times New Roman"/>
          <w:sz w:val="24"/>
          <w:szCs w:val="24"/>
          <w:lang w:eastAsia="pl-PL"/>
        </w:rPr>
        <w:t>W celu wykonania wynikającego z przepisów obowiązującego prawa obowiązku zasięgnięcia opinii projekt ustawy został przekazany do zaopiniowania następującym podmiotom:</w:t>
      </w:r>
    </w:p>
    <w:p w14:paraId="4A2C87DD" w14:textId="719074B8"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 xml:space="preserve">Prokuratorowi Krajowemu – art. 3 § 1 pkt 12 ustawy z dnia 28 stycznia 2016 r. – Prawo o prokuraturze (Dz. U. z 2019 r. poz. 740, z </w:t>
      </w:r>
      <w:proofErr w:type="spellStart"/>
      <w:r w:rsidRPr="00487495">
        <w:rPr>
          <w:rFonts w:ascii="Times New Roman" w:hAnsi="Times New Roman" w:cs="Times New Roman"/>
          <w:color w:val="000000"/>
          <w:spacing w:val="-2"/>
          <w:sz w:val="24"/>
          <w:szCs w:val="24"/>
        </w:rPr>
        <w:t>późn</w:t>
      </w:r>
      <w:proofErr w:type="spellEnd"/>
      <w:r w:rsidRPr="00487495">
        <w:rPr>
          <w:rFonts w:ascii="Times New Roman" w:hAnsi="Times New Roman" w:cs="Times New Roman"/>
          <w:color w:val="000000"/>
          <w:spacing w:val="-2"/>
          <w:sz w:val="24"/>
          <w:szCs w:val="24"/>
        </w:rPr>
        <w:t>. zm.);</w:t>
      </w:r>
    </w:p>
    <w:p w14:paraId="29650C44" w14:textId="1B123698"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 xml:space="preserve">Prezesowi Naczelnej Rady Adwokackiej – art. 58 pkt 9 ustawy z dnia 26 maja 1982 r. – Prawo o adwokaturze (Dz. U. z 2019 r. poz. 1513, z </w:t>
      </w:r>
      <w:proofErr w:type="spellStart"/>
      <w:r w:rsidRPr="00487495">
        <w:rPr>
          <w:rFonts w:ascii="Times New Roman" w:hAnsi="Times New Roman" w:cs="Times New Roman"/>
          <w:color w:val="000000"/>
          <w:spacing w:val="-2"/>
          <w:sz w:val="24"/>
          <w:szCs w:val="24"/>
        </w:rPr>
        <w:t>późn</w:t>
      </w:r>
      <w:proofErr w:type="spellEnd"/>
      <w:r w:rsidRPr="00487495">
        <w:rPr>
          <w:rFonts w:ascii="Times New Roman" w:hAnsi="Times New Roman" w:cs="Times New Roman"/>
          <w:color w:val="000000"/>
          <w:spacing w:val="-2"/>
          <w:sz w:val="24"/>
          <w:szCs w:val="24"/>
        </w:rPr>
        <w:t>. zm.);</w:t>
      </w:r>
    </w:p>
    <w:p w14:paraId="24946485" w14:textId="6610867A"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Prezesowi Krajowej Rady Radców Prawnych – art. 60 pkt 2 ustawy z dnia 6 lipca 1982 r. o radcach prawnych (Dz. U. z 2020 r. poz. 75);</w:t>
      </w:r>
    </w:p>
    <w:p w14:paraId="6BE117A8" w14:textId="3771549F"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 xml:space="preserve">Pierwszemu Prezesowi Sądu Najwyższego – art. 1 pkt 4 ustawy z dnia 8 grudnia 2017 r. o Sądzie Najwyższym (Dz. U. z 2019 r. poz. 825, z </w:t>
      </w:r>
      <w:proofErr w:type="spellStart"/>
      <w:r w:rsidRPr="00487495">
        <w:rPr>
          <w:rFonts w:ascii="Times New Roman" w:hAnsi="Times New Roman" w:cs="Times New Roman"/>
          <w:color w:val="000000"/>
          <w:spacing w:val="-2"/>
          <w:sz w:val="24"/>
          <w:szCs w:val="24"/>
        </w:rPr>
        <w:t>późn</w:t>
      </w:r>
      <w:proofErr w:type="spellEnd"/>
      <w:r w:rsidRPr="00487495">
        <w:rPr>
          <w:rFonts w:ascii="Times New Roman" w:hAnsi="Times New Roman" w:cs="Times New Roman"/>
          <w:color w:val="000000"/>
          <w:spacing w:val="-2"/>
          <w:sz w:val="24"/>
          <w:szCs w:val="24"/>
        </w:rPr>
        <w:t>. zm.);</w:t>
      </w:r>
    </w:p>
    <w:p w14:paraId="355583F7" w14:textId="32EB8D90"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lastRenderedPageBreak/>
        <w:t>Prezesowi Urzędu Ochrony Danych Osobowych – art. 51 ustawy z dnia 10 maja 2018 r. o ochronie danych osobowych (Dz. U. z 2019 r. poz. 1781);</w:t>
      </w:r>
    </w:p>
    <w:p w14:paraId="0B42AC49" w14:textId="03AE6734" w:rsidR="00C46E6D" w:rsidRPr="00487495" w:rsidRDefault="00C46E6D" w:rsidP="00487495">
      <w:pPr>
        <w:pStyle w:val="Akapitzlist"/>
        <w:numPr>
          <w:ilvl w:val="0"/>
          <w:numId w:val="38"/>
        </w:numPr>
        <w:spacing w:after="0" w:line="312" w:lineRule="auto"/>
        <w:jc w:val="both"/>
        <w:rPr>
          <w:rFonts w:ascii="Times New Roman" w:hAnsi="Times New Roman" w:cs="Times New Roman"/>
          <w:color w:val="000000"/>
          <w:spacing w:val="-2"/>
          <w:sz w:val="24"/>
          <w:szCs w:val="24"/>
        </w:rPr>
      </w:pPr>
      <w:r w:rsidRPr="00487495">
        <w:rPr>
          <w:rFonts w:ascii="Times New Roman" w:hAnsi="Times New Roman" w:cs="Times New Roman"/>
          <w:color w:val="000000"/>
          <w:spacing w:val="-2"/>
          <w:sz w:val="24"/>
          <w:szCs w:val="24"/>
        </w:rPr>
        <w:t xml:space="preserve">Radzie Dialogu Społecznego – art. 2 pkt 2 ustawy z dnia 24 lipca 2015 r. o Radzie Dialogu Społecznego i innych instytucjach dialogu społecznego (Dz. U. z 2018 r. poz. 2232, z </w:t>
      </w:r>
      <w:proofErr w:type="spellStart"/>
      <w:r w:rsidRPr="00487495">
        <w:rPr>
          <w:rFonts w:ascii="Times New Roman" w:hAnsi="Times New Roman" w:cs="Times New Roman"/>
          <w:color w:val="000000"/>
          <w:spacing w:val="-2"/>
          <w:sz w:val="24"/>
          <w:szCs w:val="24"/>
        </w:rPr>
        <w:t>późn</w:t>
      </w:r>
      <w:proofErr w:type="spellEnd"/>
      <w:r w:rsidRPr="00487495">
        <w:rPr>
          <w:rFonts w:ascii="Times New Roman" w:hAnsi="Times New Roman" w:cs="Times New Roman"/>
          <w:color w:val="000000"/>
          <w:spacing w:val="-2"/>
          <w:sz w:val="24"/>
          <w:szCs w:val="24"/>
        </w:rPr>
        <w:t>. zm.).</w:t>
      </w:r>
    </w:p>
    <w:p w14:paraId="2EF701BB" w14:textId="77777777" w:rsidR="00004D83" w:rsidRDefault="00004D83" w:rsidP="00487495">
      <w:pPr>
        <w:spacing w:after="0" w:line="312" w:lineRule="auto"/>
        <w:jc w:val="both"/>
        <w:rPr>
          <w:rFonts w:ascii="Times New Roman" w:hAnsi="Times New Roman" w:cs="Times New Roman"/>
          <w:sz w:val="24"/>
          <w:szCs w:val="24"/>
        </w:rPr>
      </w:pPr>
    </w:p>
    <w:p w14:paraId="4AF3EB19" w14:textId="7E981D15" w:rsidR="00906089" w:rsidRDefault="00004D83" w:rsidP="00487495">
      <w:pPr>
        <w:spacing w:after="0" w:line="312" w:lineRule="auto"/>
        <w:jc w:val="both"/>
        <w:rPr>
          <w:rFonts w:ascii="Times New Roman" w:hAnsi="Times New Roman" w:cs="Times New Roman"/>
          <w:sz w:val="24"/>
          <w:szCs w:val="24"/>
        </w:rPr>
      </w:pPr>
      <w:r>
        <w:rPr>
          <w:rFonts w:ascii="Times New Roman" w:hAnsi="Times New Roman" w:cs="Times New Roman"/>
          <w:sz w:val="24"/>
          <w:szCs w:val="24"/>
        </w:rPr>
        <w:t>Komisja Wspólna Rządu i Samorządu Terytorialnego w dniu 28 sierpnia 2020 r. pozytywnie zaopiniowała projekt ustawy.</w:t>
      </w:r>
    </w:p>
    <w:p w14:paraId="550A35F4" w14:textId="77777777" w:rsidR="00004D83" w:rsidRDefault="00004D83" w:rsidP="00487495">
      <w:pPr>
        <w:spacing w:after="0" w:line="312" w:lineRule="auto"/>
        <w:jc w:val="both"/>
        <w:rPr>
          <w:rFonts w:ascii="Times New Roman" w:hAnsi="Times New Roman" w:cs="Times New Roman"/>
          <w:sz w:val="24"/>
          <w:szCs w:val="24"/>
        </w:rPr>
      </w:pPr>
    </w:p>
    <w:p w14:paraId="08FBD4B0" w14:textId="306C6F3B" w:rsidR="00646730" w:rsidRPr="00487495" w:rsidRDefault="00182D5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Uwagi i spostrzeżenia przedstawili:</w:t>
      </w:r>
    </w:p>
    <w:p w14:paraId="22BC4289" w14:textId="2F4C4D82" w:rsidR="00C46E6D" w:rsidRPr="00487495" w:rsidRDefault="00C46E6D" w:rsidP="00487495">
      <w:pPr>
        <w:pStyle w:val="Akapitzlist"/>
        <w:numPr>
          <w:ilvl w:val="0"/>
          <w:numId w:val="40"/>
        </w:num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Wojewoda Małopolski</w:t>
      </w:r>
      <w:r w:rsidR="001F163B">
        <w:rPr>
          <w:rFonts w:ascii="Times New Roman" w:hAnsi="Times New Roman" w:cs="Times New Roman"/>
          <w:sz w:val="24"/>
          <w:szCs w:val="24"/>
        </w:rPr>
        <w:t>,</w:t>
      </w:r>
    </w:p>
    <w:p w14:paraId="6154E231" w14:textId="63EEDA95" w:rsidR="00C46E6D" w:rsidRPr="00487495" w:rsidRDefault="00C46E6D" w:rsidP="00487495">
      <w:pPr>
        <w:pStyle w:val="Akapitzlist"/>
        <w:numPr>
          <w:ilvl w:val="0"/>
          <w:numId w:val="40"/>
        </w:num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Wojewoda Kujawsko-Pomorski</w:t>
      </w:r>
      <w:r w:rsidR="001F163B">
        <w:rPr>
          <w:rFonts w:ascii="Times New Roman" w:hAnsi="Times New Roman" w:cs="Times New Roman"/>
          <w:sz w:val="24"/>
          <w:szCs w:val="24"/>
        </w:rPr>
        <w:t>,</w:t>
      </w:r>
    </w:p>
    <w:p w14:paraId="58151CD8" w14:textId="6BC66DE7" w:rsidR="00224A7A" w:rsidRPr="00487495" w:rsidRDefault="00224A7A" w:rsidP="00487495">
      <w:pPr>
        <w:pStyle w:val="Akapitzlist"/>
        <w:numPr>
          <w:ilvl w:val="0"/>
          <w:numId w:val="40"/>
        </w:num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Ambasada Brytyjska w Warszawie</w:t>
      </w:r>
      <w:r w:rsidR="001F163B">
        <w:rPr>
          <w:rFonts w:ascii="Times New Roman" w:hAnsi="Times New Roman" w:cs="Times New Roman"/>
          <w:sz w:val="24"/>
          <w:szCs w:val="24"/>
        </w:rPr>
        <w:t>,</w:t>
      </w:r>
    </w:p>
    <w:p w14:paraId="6665A586" w14:textId="23C22E5A" w:rsidR="00C46E6D" w:rsidRPr="00487495" w:rsidRDefault="00C46E6D" w:rsidP="00487495">
      <w:pPr>
        <w:pStyle w:val="Akapitzlist"/>
        <w:numPr>
          <w:ilvl w:val="0"/>
          <w:numId w:val="40"/>
        </w:num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Brytyjsko-Polska Izba Handlowa</w:t>
      </w:r>
      <w:r w:rsidR="001F163B">
        <w:rPr>
          <w:rFonts w:ascii="Times New Roman" w:hAnsi="Times New Roman" w:cs="Times New Roman"/>
          <w:sz w:val="24"/>
          <w:szCs w:val="24"/>
        </w:rPr>
        <w:t>,</w:t>
      </w:r>
    </w:p>
    <w:p w14:paraId="235C21D3" w14:textId="5566D948" w:rsidR="00C46E6D" w:rsidRDefault="001F163B" w:rsidP="00487495">
      <w:pPr>
        <w:pStyle w:val="UdSC-tekst10"/>
        <w:numPr>
          <w:ilvl w:val="0"/>
          <w:numId w:val="40"/>
        </w:numPr>
        <w:spacing w:after="0" w:line="312" w:lineRule="auto"/>
        <w:jc w:val="both"/>
        <w:rPr>
          <w:rStyle w:val="UdSC-tekst10Char"/>
          <w:rFonts w:ascii="Times New Roman" w:hAnsi="Times New Roman" w:cs="Times New Roman"/>
          <w:sz w:val="24"/>
          <w:szCs w:val="24"/>
        </w:rPr>
      </w:pPr>
      <w:r>
        <w:rPr>
          <w:rStyle w:val="UdSC-tekst10Char"/>
          <w:rFonts w:ascii="Times New Roman" w:hAnsi="Times New Roman" w:cs="Times New Roman"/>
          <w:sz w:val="24"/>
          <w:szCs w:val="24"/>
        </w:rPr>
        <w:t>Instytut na Rzecz Państwa Prawa,</w:t>
      </w:r>
    </w:p>
    <w:p w14:paraId="65AA9265" w14:textId="07EF14C9" w:rsidR="001F163B" w:rsidRPr="00487495" w:rsidRDefault="001F163B" w:rsidP="001F163B">
      <w:pPr>
        <w:pStyle w:val="UdSC-tekst10"/>
        <w:numPr>
          <w:ilvl w:val="0"/>
          <w:numId w:val="40"/>
        </w:numPr>
        <w:spacing w:after="0" w:line="312" w:lineRule="auto"/>
        <w:jc w:val="both"/>
        <w:rPr>
          <w:rStyle w:val="UdSC-tekst10Char"/>
          <w:rFonts w:ascii="Times New Roman" w:hAnsi="Times New Roman" w:cs="Times New Roman"/>
          <w:sz w:val="24"/>
          <w:szCs w:val="24"/>
        </w:rPr>
      </w:pPr>
      <w:r w:rsidRPr="001F163B">
        <w:rPr>
          <w:rStyle w:val="UdSC-tekst10Char"/>
          <w:rFonts w:ascii="Times New Roman" w:hAnsi="Times New Roman" w:cs="Times New Roman"/>
          <w:sz w:val="24"/>
          <w:szCs w:val="24"/>
        </w:rPr>
        <w:t>Helsińsk</w:t>
      </w:r>
      <w:r>
        <w:rPr>
          <w:rStyle w:val="UdSC-tekst10Char"/>
          <w:rFonts w:ascii="Times New Roman" w:hAnsi="Times New Roman" w:cs="Times New Roman"/>
          <w:sz w:val="24"/>
          <w:szCs w:val="24"/>
        </w:rPr>
        <w:t>a</w:t>
      </w:r>
      <w:r w:rsidRPr="001F163B">
        <w:rPr>
          <w:rStyle w:val="UdSC-tekst10Char"/>
          <w:rFonts w:ascii="Times New Roman" w:hAnsi="Times New Roman" w:cs="Times New Roman"/>
          <w:sz w:val="24"/>
          <w:szCs w:val="24"/>
        </w:rPr>
        <w:t xml:space="preserve"> Fundacj</w:t>
      </w:r>
      <w:r>
        <w:rPr>
          <w:rStyle w:val="UdSC-tekst10Char"/>
          <w:rFonts w:ascii="Times New Roman" w:hAnsi="Times New Roman" w:cs="Times New Roman"/>
          <w:sz w:val="24"/>
          <w:szCs w:val="24"/>
        </w:rPr>
        <w:t>a</w:t>
      </w:r>
      <w:r w:rsidRPr="001F163B">
        <w:rPr>
          <w:rStyle w:val="UdSC-tekst10Char"/>
          <w:rFonts w:ascii="Times New Roman" w:hAnsi="Times New Roman" w:cs="Times New Roman"/>
          <w:sz w:val="24"/>
          <w:szCs w:val="24"/>
        </w:rPr>
        <w:t xml:space="preserve"> Praw Człowieka</w:t>
      </w:r>
      <w:r>
        <w:rPr>
          <w:rStyle w:val="UdSC-tekst10Char"/>
          <w:rFonts w:ascii="Times New Roman" w:hAnsi="Times New Roman" w:cs="Times New Roman"/>
          <w:sz w:val="24"/>
          <w:szCs w:val="24"/>
        </w:rPr>
        <w:t>.</w:t>
      </w:r>
    </w:p>
    <w:p w14:paraId="34DE0EF6" w14:textId="77777777" w:rsidR="00CB058A" w:rsidRPr="00487495" w:rsidRDefault="00CB058A" w:rsidP="00487495">
      <w:pPr>
        <w:spacing w:after="0" w:line="312" w:lineRule="auto"/>
        <w:jc w:val="both"/>
        <w:rPr>
          <w:rFonts w:ascii="Times New Roman" w:hAnsi="Times New Roman" w:cs="Times New Roman"/>
          <w:sz w:val="24"/>
          <w:szCs w:val="24"/>
        </w:rPr>
      </w:pPr>
    </w:p>
    <w:p w14:paraId="45F0CAF5" w14:textId="77777777" w:rsidR="00CB058A" w:rsidRPr="00487495" w:rsidRDefault="00CB058A"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 xml:space="preserve">3. </w:t>
      </w:r>
      <w:r w:rsidR="00DE5EC4" w:rsidRPr="00487495">
        <w:rPr>
          <w:rFonts w:ascii="Times New Roman" w:hAnsi="Times New Roman" w:cs="Times New Roman"/>
          <w:b/>
          <w:sz w:val="24"/>
          <w:szCs w:val="24"/>
        </w:rPr>
        <w:t>Omówienie wyników przeprowadzonych konsultacji publicznych i opiniowania</w:t>
      </w:r>
    </w:p>
    <w:p w14:paraId="3B59F6B4" w14:textId="00011A9C" w:rsidR="00CC3D65" w:rsidRPr="00487495" w:rsidRDefault="00993BE3" w:rsidP="00487495">
      <w:pPr>
        <w:spacing w:after="0" w:line="312" w:lineRule="auto"/>
        <w:ind w:firstLine="708"/>
        <w:jc w:val="both"/>
        <w:rPr>
          <w:rFonts w:ascii="Times New Roman" w:hAnsi="Times New Roman" w:cs="Times New Roman"/>
          <w:sz w:val="24"/>
          <w:szCs w:val="24"/>
        </w:rPr>
      </w:pPr>
      <w:r w:rsidRPr="00487495">
        <w:rPr>
          <w:rFonts w:ascii="Times New Roman" w:hAnsi="Times New Roman" w:cs="Times New Roman"/>
          <w:sz w:val="24"/>
          <w:szCs w:val="24"/>
        </w:rPr>
        <w:t xml:space="preserve">W </w:t>
      </w:r>
      <w:r w:rsidR="00F56E6B" w:rsidRPr="00487495">
        <w:rPr>
          <w:rFonts w:ascii="Times New Roman" w:hAnsi="Times New Roman" w:cs="Times New Roman"/>
          <w:sz w:val="24"/>
          <w:szCs w:val="24"/>
        </w:rPr>
        <w:t xml:space="preserve">dniu </w:t>
      </w:r>
      <w:r w:rsidR="00CC3D65" w:rsidRPr="00487495">
        <w:rPr>
          <w:rFonts w:ascii="Times New Roman" w:hAnsi="Times New Roman" w:cs="Times New Roman"/>
          <w:sz w:val="24"/>
          <w:szCs w:val="24"/>
        </w:rPr>
        <w:t>12</w:t>
      </w:r>
      <w:r w:rsidR="00F56E6B" w:rsidRPr="00487495">
        <w:rPr>
          <w:rFonts w:ascii="Times New Roman" w:hAnsi="Times New Roman" w:cs="Times New Roman"/>
          <w:sz w:val="24"/>
          <w:szCs w:val="24"/>
        </w:rPr>
        <w:t xml:space="preserve"> </w:t>
      </w:r>
      <w:r w:rsidR="00CC3D65" w:rsidRPr="00487495">
        <w:rPr>
          <w:rFonts w:ascii="Times New Roman" w:hAnsi="Times New Roman" w:cs="Times New Roman"/>
          <w:sz w:val="24"/>
          <w:szCs w:val="24"/>
        </w:rPr>
        <w:t xml:space="preserve">sierpnia </w:t>
      </w:r>
      <w:r w:rsidR="00F56E6B" w:rsidRPr="00487495">
        <w:rPr>
          <w:rFonts w:ascii="Times New Roman" w:hAnsi="Times New Roman" w:cs="Times New Roman"/>
          <w:sz w:val="24"/>
          <w:szCs w:val="24"/>
        </w:rPr>
        <w:t>20</w:t>
      </w:r>
      <w:r w:rsidR="00CC3D65" w:rsidRPr="00487495">
        <w:rPr>
          <w:rFonts w:ascii="Times New Roman" w:hAnsi="Times New Roman" w:cs="Times New Roman"/>
          <w:sz w:val="24"/>
          <w:szCs w:val="24"/>
        </w:rPr>
        <w:t>20</w:t>
      </w:r>
      <w:r w:rsidR="00487495">
        <w:rPr>
          <w:rFonts w:ascii="Times New Roman" w:hAnsi="Times New Roman" w:cs="Times New Roman"/>
          <w:sz w:val="24"/>
          <w:szCs w:val="24"/>
        </w:rPr>
        <w:t xml:space="preserve"> </w:t>
      </w:r>
      <w:r w:rsidR="00F56E6B" w:rsidRPr="00487495">
        <w:rPr>
          <w:rFonts w:ascii="Times New Roman" w:hAnsi="Times New Roman" w:cs="Times New Roman"/>
          <w:sz w:val="24"/>
          <w:szCs w:val="24"/>
        </w:rPr>
        <w:t xml:space="preserve">r. </w:t>
      </w:r>
      <w:r w:rsidR="00CC3D65" w:rsidRPr="00487495">
        <w:rPr>
          <w:rFonts w:ascii="Times New Roman" w:hAnsi="Times New Roman" w:cs="Times New Roman"/>
          <w:sz w:val="24"/>
          <w:szCs w:val="24"/>
        </w:rPr>
        <w:t xml:space="preserve">projekt ustawy o zmianie ustawy o wjeździe na terytorium Rzeczypospolitej Polskiej, pobycie oraz wyjeździe z tego terytorium obywateli państw członkowskich Unii Europejskiej i członków ich rodzin oraz niektórych innych ustaw </w:t>
      </w:r>
      <w:r w:rsidR="003D64B1" w:rsidRPr="00487495">
        <w:rPr>
          <w:rFonts w:ascii="Times New Roman" w:hAnsi="Times New Roman" w:cs="Times New Roman"/>
          <w:sz w:val="24"/>
          <w:szCs w:val="24"/>
        </w:rPr>
        <w:t>(</w:t>
      </w:r>
      <w:r w:rsidR="00CC3D65" w:rsidRPr="00487495">
        <w:rPr>
          <w:rFonts w:ascii="Times New Roman" w:hAnsi="Times New Roman" w:cs="Times New Roman"/>
          <w:sz w:val="24"/>
          <w:szCs w:val="24"/>
        </w:rPr>
        <w:t>UC51</w:t>
      </w:r>
      <w:r w:rsidR="003D64B1" w:rsidRPr="00487495">
        <w:rPr>
          <w:rFonts w:ascii="Times New Roman" w:hAnsi="Times New Roman" w:cs="Times New Roman"/>
          <w:sz w:val="24"/>
          <w:szCs w:val="24"/>
        </w:rPr>
        <w:t>)</w:t>
      </w:r>
      <w:r w:rsidR="007D6022" w:rsidRPr="00487495">
        <w:rPr>
          <w:rFonts w:ascii="Times New Roman" w:hAnsi="Times New Roman" w:cs="Times New Roman"/>
          <w:sz w:val="24"/>
          <w:szCs w:val="24"/>
        </w:rPr>
        <w:t xml:space="preserve"> został skierowany do konsultacji publicznych i opiniowania z prośbą o przekazanie uwag w terminie 10 dni od dnia otrzymania pisma informującego o </w:t>
      </w:r>
      <w:r w:rsidR="00242240" w:rsidRPr="00487495">
        <w:rPr>
          <w:rFonts w:ascii="Times New Roman" w:hAnsi="Times New Roman" w:cs="Times New Roman"/>
          <w:sz w:val="24"/>
          <w:szCs w:val="24"/>
        </w:rPr>
        <w:t xml:space="preserve">umieszczeniu ww. projektu </w:t>
      </w:r>
      <w:r w:rsidR="0049731E" w:rsidRPr="00487495">
        <w:rPr>
          <w:rFonts w:ascii="Times New Roman" w:hAnsi="Times New Roman" w:cs="Times New Roman"/>
          <w:sz w:val="24"/>
          <w:szCs w:val="24"/>
        </w:rPr>
        <w:t xml:space="preserve">na </w:t>
      </w:r>
      <w:r w:rsidR="007D6022" w:rsidRPr="00487495">
        <w:rPr>
          <w:rFonts w:ascii="Times New Roman" w:hAnsi="Times New Roman" w:cs="Times New Roman"/>
          <w:sz w:val="24"/>
          <w:szCs w:val="24"/>
        </w:rPr>
        <w:t>stronie Biuletynu Informacji Publicznej Rządowego Centrum Legislacji w zakła</w:t>
      </w:r>
      <w:r w:rsidR="00242240" w:rsidRPr="00487495">
        <w:rPr>
          <w:rFonts w:ascii="Times New Roman" w:hAnsi="Times New Roman" w:cs="Times New Roman"/>
          <w:sz w:val="24"/>
          <w:szCs w:val="24"/>
        </w:rPr>
        <w:t xml:space="preserve">dce Rządowy Proces Legislacyjny. </w:t>
      </w:r>
    </w:p>
    <w:p w14:paraId="3EB063C5" w14:textId="3CFD1475" w:rsidR="00993BE3" w:rsidRPr="00487495" w:rsidRDefault="00487495" w:rsidP="00487495">
      <w:pPr>
        <w:spacing w:after="0" w:line="312" w:lineRule="auto"/>
        <w:ind w:firstLine="708"/>
        <w:jc w:val="both"/>
        <w:rPr>
          <w:rFonts w:ascii="Times New Roman" w:hAnsi="Times New Roman" w:cs="Times New Roman"/>
          <w:sz w:val="24"/>
          <w:szCs w:val="24"/>
        </w:rPr>
      </w:pPr>
      <w:r>
        <w:rPr>
          <w:rFonts w:ascii="Times New Roman" w:hAnsi="Times New Roman" w:cs="Times New Roman"/>
          <w:sz w:val="24"/>
          <w:szCs w:val="24"/>
        </w:rPr>
        <w:t>Część z</w:t>
      </w:r>
      <w:r w:rsidR="00242240" w:rsidRPr="00487495">
        <w:rPr>
          <w:rFonts w:ascii="Times New Roman" w:hAnsi="Times New Roman" w:cs="Times New Roman"/>
          <w:sz w:val="24"/>
          <w:szCs w:val="24"/>
        </w:rPr>
        <w:t>głoszon</w:t>
      </w:r>
      <w:r>
        <w:rPr>
          <w:rFonts w:ascii="Times New Roman" w:hAnsi="Times New Roman" w:cs="Times New Roman"/>
          <w:sz w:val="24"/>
          <w:szCs w:val="24"/>
        </w:rPr>
        <w:t>ych</w:t>
      </w:r>
      <w:r w:rsidR="00242240" w:rsidRPr="00487495">
        <w:rPr>
          <w:rFonts w:ascii="Times New Roman" w:hAnsi="Times New Roman" w:cs="Times New Roman"/>
          <w:sz w:val="24"/>
          <w:szCs w:val="24"/>
        </w:rPr>
        <w:t xml:space="preserve"> w toku konsultacji uwag został</w:t>
      </w:r>
      <w:r>
        <w:rPr>
          <w:rFonts w:ascii="Times New Roman" w:hAnsi="Times New Roman" w:cs="Times New Roman"/>
          <w:sz w:val="24"/>
          <w:szCs w:val="24"/>
        </w:rPr>
        <w:t>a</w:t>
      </w:r>
      <w:r w:rsidR="00242240" w:rsidRPr="00487495">
        <w:rPr>
          <w:rFonts w:ascii="Times New Roman" w:hAnsi="Times New Roman" w:cs="Times New Roman"/>
          <w:sz w:val="24"/>
          <w:szCs w:val="24"/>
        </w:rPr>
        <w:t xml:space="preserve"> uwzględniona</w:t>
      </w:r>
      <w:r>
        <w:rPr>
          <w:rFonts w:ascii="Times New Roman" w:hAnsi="Times New Roman" w:cs="Times New Roman"/>
          <w:sz w:val="24"/>
          <w:szCs w:val="24"/>
        </w:rPr>
        <w:t xml:space="preserve"> częściowo</w:t>
      </w:r>
      <w:r w:rsidR="00906089">
        <w:rPr>
          <w:rFonts w:ascii="Times New Roman" w:hAnsi="Times New Roman" w:cs="Times New Roman"/>
          <w:sz w:val="24"/>
          <w:szCs w:val="24"/>
        </w:rPr>
        <w:t>, w</w:t>
      </w:r>
      <w:r>
        <w:rPr>
          <w:rFonts w:ascii="Times New Roman" w:hAnsi="Times New Roman" w:cs="Times New Roman"/>
          <w:sz w:val="24"/>
          <w:szCs w:val="24"/>
        </w:rPr>
        <w:t> </w:t>
      </w:r>
      <w:r w:rsidR="00993BE3" w:rsidRPr="00487495">
        <w:rPr>
          <w:rFonts w:ascii="Times New Roman" w:hAnsi="Times New Roman" w:cs="Times New Roman"/>
          <w:sz w:val="24"/>
          <w:szCs w:val="24"/>
        </w:rPr>
        <w:t xml:space="preserve">przypadku uwag nieuwzględnionych </w:t>
      </w:r>
      <w:r>
        <w:rPr>
          <w:rFonts w:ascii="Times New Roman" w:hAnsi="Times New Roman" w:cs="Times New Roman"/>
          <w:sz w:val="24"/>
          <w:szCs w:val="24"/>
        </w:rPr>
        <w:t xml:space="preserve">i zapytań </w:t>
      </w:r>
      <w:r w:rsidR="00993BE3" w:rsidRPr="00487495">
        <w:rPr>
          <w:rFonts w:ascii="Times New Roman" w:hAnsi="Times New Roman" w:cs="Times New Roman"/>
          <w:sz w:val="24"/>
          <w:szCs w:val="24"/>
        </w:rPr>
        <w:t>pr</w:t>
      </w:r>
      <w:r>
        <w:rPr>
          <w:rFonts w:ascii="Times New Roman" w:hAnsi="Times New Roman" w:cs="Times New Roman"/>
          <w:sz w:val="24"/>
          <w:szCs w:val="24"/>
        </w:rPr>
        <w:t>ojektodawca</w:t>
      </w:r>
      <w:r w:rsidR="005065F4" w:rsidRPr="00487495">
        <w:rPr>
          <w:rFonts w:ascii="Times New Roman" w:hAnsi="Times New Roman" w:cs="Times New Roman"/>
          <w:sz w:val="24"/>
          <w:szCs w:val="24"/>
        </w:rPr>
        <w:t xml:space="preserve"> </w:t>
      </w:r>
      <w:r>
        <w:rPr>
          <w:rFonts w:ascii="Times New Roman" w:hAnsi="Times New Roman" w:cs="Times New Roman"/>
          <w:sz w:val="24"/>
          <w:szCs w:val="24"/>
        </w:rPr>
        <w:t>przedstaw</w:t>
      </w:r>
      <w:r w:rsidR="00F61A14">
        <w:rPr>
          <w:rFonts w:ascii="Times New Roman" w:hAnsi="Times New Roman" w:cs="Times New Roman"/>
          <w:sz w:val="24"/>
          <w:szCs w:val="24"/>
        </w:rPr>
        <w:t>ia</w:t>
      </w:r>
      <w:r>
        <w:rPr>
          <w:rFonts w:ascii="Times New Roman" w:hAnsi="Times New Roman" w:cs="Times New Roman"/>
          <w:sz w:val="24"/>
          <w:szCs w:val="24"/>
        </w:rPr>
        <w:t xml:space="preserve"> </w:t>
      </w:r>
      <w:r w:rsidR="00F61A14">
        <w:rPr>
          <w:rFonts w:ascii="Times New Roman" w:hAnsi="Times New Roman" w:cs="Times New Roman"/>
          <w:sz w:val="24"/>
          <w:szCs w:val="24"/>
        </w:rPr>
        <w:t xml:space="preserve">następujące </w:t>
      </w:r>
      <w:r w:rsidR="005065F4" w:rsidRPr="00487495">
        <w:rPr>
          <w:rFonts w:ascii="Times New Roman" w:hAnsi="Times New Roman" w:cs="Times New Roman"/>
          <w:sz w:val="24"/>
          <w:szCs w:val="24"/>
        </w:rPr>
        <w:t>wyjaśni</w:t>
      </w:r>
      <w:r>
        <w:rPr>
          <w:rFonts w:ascii="Times New Roman" w:hAnsi="Times New Roman" w:cs="Times New Roman"/>
          <w:sz w:val="24"/>
          <w:szCs w:val="24"/>
        </w:rPr>
        <w:t>enia</w:t>
      </w:r>
      <w:r w:rsidR="00906089">
        <w:rPr>
          <w:rFonts w:ascii="Times New Roman" w:hAnsi="Times New Roman" w:cs="Times New Roman"/>
          <w:sz w:val="24"/>
          <w:szCs w:val="24"/>
        </w:rPr>
        <w:t>:</w:t>
      </w:r>
    </w:p>
    <w:p w14:paraId="737960E5" w14:textId="77777777" w:rsidR="00487495" w:rsidRDefault="00487495" w:rsidP="00487495">
      <w:pPr>
        <w:spacing w:after="0" w:line="312" w:lineRule="auto"/>
        <w:jc w:val="both"/>
        <w:rPr>
          <w:rFonts w:ascii="Times New Roman" w:hAnsi="Times New Roman" w:cs="Times New Roman"/>
          <w:b/>
          <w:sz w:val="24"/>
          <w:szCs w:val="24"/>
        </w:rPr>
      </w:pPr>
    </w:p>
    <w:p w14:paraId="71074CB1" w14:textId="00D48184"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Stanowisko projektodawcy odnośnie uwag zgłoszonych pismem nr WN-IV.0521.33.2020 z dnia 18 sierpnia 2020 r. przez Wojewodę Małopolskiego:</w:t>
      </w:r>
    </w:p>
    <w:p w14:paraId="40160C66" w14:textId="7CFC1B18"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1. – </w:t>
      </w:r>
      <w:r w:rsidRPr="00487495">
        <w:rPr>
          <w:rFonts w:ascii="Times New Roman" w:hAnsi="Times New Roman" w:cs="Times New Roman"/>
          <w:sz w:val="24"/>
          <w:szCs w:val="24"/>
        </w:rPr>
        <w:t>odnośnie potrzeby doprecyzowania pojęcie „wystarczające środki fin</w:t>
      </w:r>
      <w:r w:rsidR="00F61A14">
        <w:rPr>
          <w:rFonts w:ascii="Times New Roman" w:hAnsi="Times New Roman" w:cs="Times New Roman"/>
          <w:sz w:val="24"/>
          <w:szCs w:val="24"/>
        </w:rPr>
        <w:t>ansowe” – z</w:t>
      </w:r>
      <w:r w:rsidRPr="00487495">
        <w:rPr>
          <w:rFonts w:ascii="Times New Roman" w:hAnsi="Times New Roman" w:cs="Times New Roman"/>
          <w:sz w:val="24"/>
          <w:szCs w:val="24"/>
        </w:rPr>
        <w:t xml:space="preserve">godnie z art. 8 ust. 4 dyrektywy 2004/38/WE Państwa Członkowskie nie mogą ustanowić określonej kwoty, którą uznają za „wystarczające środki”, lecz mają obowiązek uwzględnić osobistą sytuację danej osoby. We wszystkich przypadkach kwota ta nie powinna być wyższa niż próg, poniżej którego obywatele przyjmującego Państwa Członkowskiego kwalifikują się do pomocy społecznej, lub – jeżeli to kryterium nie ma zastosowania – wyższa niż minimalna renta z tytułu zabezpieczenia społecznego wypłacana przez przyjmujące Państwo </w:t>
      </w:r>
      <w:r w:rsidRPr="00487495">
        <w:rPr>
          <w:rFonts w:ascii="Times New Roman" w:hAnsi="Times New Roman" w:cs="Times New Roman"/>
          <w:sz w:val="24"/>
          <w:szCs w:val="24"/>
        </w:rPr>
        <w:lastRenderedPageBreak/>
        <w:t xml:space="preserve">Członkowskie. Uszczegółowienie zatem pojęcia „wystarczające środki finansowe” byłoby sprzeczne z cytowanym wyżej przepisem dyrektywy. </w:t>
      </w:r>
    </w:p>
    <w:p w14:paraId="28E686B0" w14:textId="1A12A77F"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2. – </w:t>
      </w:r>
      <w:r w:rsidRPr="00487495">
        <w:rPr>
          <w:rFonts w:ascii="Times New Roman" w:hAnsi="Times New Roman" w:cs="Times New Roman"/>
          <w:sz w:val="24"/>
          <w:szCs w:val="24"/>
        </w:rPr>
        <w:t xml:space="preserve">odnośnie określenia konsekwencji naruszenia terminów wskazanych w przepisach art.33 ust. 1a i 1b i art. 33a – 33b projektu ustawy – </w:t>
      </w:r>
      <w:r w:rsidRPr="00563E57">
        <w:rPr>
          <w:rFonts w:ascii="Times New Roman" w:hAnsi="Times New Roman" w:cs="Times New Roman"/>
          <w:sz w:val="24"/>
          <w:szCs w:val="24"/>
        </w:rPr>
        <w:t>uwaga zosta</w:t>
      </w:r>
      <w:r w:rsidR="00F61A14" w:rsidRPr="00563E57">
        <w:rPr>
          <w:rFonts w:ascii="Times New Roman" w:hAnsi="Times New Roman" w:cs="Times New Roman"/>
          <w:sz w:val="24"/>
          <w:szCs w:val="24"/>
        </w:rPr>
        <w:t>ła</w:t>
      </w:r>
      <w:r w:rsidRPr="00563E57">
        <w:rPr>
          <w:rFonts w:ascii="Times New Roman" w:hAnsi="Times New Roman" w:cs="Times New Roman"/>
          <w:sz w:val="24"/>
          <w:szCs w:val="24"/>
        </w:rPr>
        <w:t xml:space="preserve"> uwzględniona częściowo </w:t>
      </w:r>
      <w:r w:rsidRPr="00487495">
        <w:rPr>
          <w:rFonts w:ascii="Times New Roman" w:hAnsi="Times New Roman" w:cs="Times New Roman"/>
          <w:sz w:val="24"/>
          <w:szCs w:val="24"/>
        </w:rPr>
        <w:t xml:space="preserve">poprzez wprowadzenie zmiany w art. 81 ustawy o wjeździe obywateli UE. </w:t>
      </w:r>
    </w:p>
    <w:p w14:paraId="2EC9DB6A" w14:textId="5141463C"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3. – </w:t>
      </w:r>
      <w:r w:rsidRPr="00487495">
        <w:rPr>
          <w:rFonts w:ascii="Times New Roman" w:hAnsi="Times New Roman" w:cs="Times New Roman"/>
          <w:sz w:val="24"/>
          <w:szCs w:val="24"/>
        </w:rPr>
        <w:t xml:space="preserve">odnośnie doprecyzowania, czy spełnienie jednej z przesłanek prawa pobytu musi być potwierdzone posiadaniem przez okres 5 lat zaświadczenia o zrejestrowaniu pobytu obywatela UE lub karty pobytu członka rodziny obywatela UE w art. 42 i art. 43 projektu ustawy – </w:t>
      </w:r>
      <w:r w:rsidR="000C08F2">
        <w:rPr>
          <w:rFonts w:ascii="Times New Roman" w:hAnsi="Times New Roman" w:cs="Times New Roman"/>
          <w:sz w:val="24"/>
          <w:szCs w:val="24"/>
        </w:rPr>
        <w:br/>
      </w:r>
      <w:r w:rsidRPr="00487495">
        <w:rPr>
          <w:rFonts w:ascii="Times New Roman" w:hAnsi="Times New Roman" w:cs="Times New Roman"/>
          <w:sz w:val="24"/>
          <w:szCs w:val="24"/>
        </w:rPr>
        <w:t xml:space="preserve">w opinii projektodawcy posiadanie ww. dokumentów nie musi być potwierdzone. </w:t>
      </w:r>
    </w:p>
    <w:p w14:paraId="10F3444F" w14:textId="6A984598" w:rsidR="00CC3D65" w:rsidRPr="00487495" w:rsidRDefault="000C08F2" w:rsidP="00487495">
      <w:pPr>
        <w:spacing w:after="0" w:line="312" w:lineRule="auto"/>
        <w:jc w:val="both"/>
        <w:rPr>
          <w:rFonts w:ascii="Times New Roman" w:hAnsi="Times New Roman" w:cs="Times New Roman"/>
          <w:sz w:val="24"/>
          <w:szCs w:val="24"/>
        </w:rPr>
      </w:pPr>
      <w:r>
        <w:rPr>
          <w:rFonts w:ascii="Times New Roman" w:hAnsi="Times New Roman" w:cs="Times New Roman"/>
          <w:sz w:val="24"/>
          <w:szCs w:val="24"/>
        </w:rPr>
        <w:t>A</w:t>
      </w:r>
      <w:r w:rsidR="00CC3D65" w:rsidRPr="00487495">
        <w:rPr>
          <w:rFonts w:ascii="Times New Roman" w:hAnsi="Times New Roman" w:cs="Times New Roman"/>
          <w:sz w:val="24"/>
          <w:szCs w:val="24"/>
        </w:rPr>
        <w:t xml:space="preserve">rt. 16 ust. 1 dyrektywy 2004/38/WE stanowi, iż obywatele Unii, którzy legalnie zamieszkują w przyjmującym Państwie Członkowskim przez nieprzerwany okres pięciu lat, mają prawo stałego pobytu w tym Państwie. Prawo to nie podlega warunkom przewidzianym w rozdziale III. Zgodnie z art. 16 ust. 4 ww. dyrektywy, po nabyciu prawa stałego pobytu można je utracić jedynie w wyniku nieobecności w przyjmującym Państwie Członkowskim przez okres przekraczający dwa kolejne lata. Jak wynika jednoznacznie z zacytowanych wyżej przepisów nabycie prawa pobytu przez obywatela UE następuje z mocy prawa z samego faktu legalnego zamieszkiwania w przyjmującym państwie członkowskim przez okres 5 lat. Art. 16 ust. 1 dyrektywy posługuje się dla potrzeb nabywania przez obywateli UE oraz członków ich rodzin prawa stałego pobytu pojęciem „legalnego zamieszkiwania”. Motyw 17 dyrektywy 2004/38/WE wyjaśnia, że prawo stałego pobytu powinno zostać ustanowione dla wszystkich obywateli Unii i członków ich rodziny, którzy zamieszkiwali w przyjmującym państwie członkowskim „zgodnie z warunkami ustanowionymi w niniejszej dyrektywie” nieprzerwanie przez okres pięciu lat, o ile nie zastosowano wobec nich środka wydalenia. </w:t>
      </w:r>
    </w:p>
    <w:p w14:paraId="5F903329" w14:textId="6EB01894"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W wyroku w sprawach połączonych Ziółkowski i Szeja C-424/10 i C-425/10 (pkt 46) Trybunał Sprawiedliwości Unii Europejskiej wypowiedział się, że pod pojęciem „legalnego zamieszkiwania” należy rozumieć zamieszkiwanie zgodnie z art. 7 dyrektywy, który określa warunki posiadania przez obywatela UE prawa pobytu przez okres przekraczający 3 miesiące. Podobnie w wyroku C-325/09 w sprawie Dias (pkt 48 oraz pkt 54 i 55) Trybunał Sprawiedliwości Unii Europejskiej wskazał, że dokumenty potwierdzające prawo pobytu obywatela UE mają jedynie charakter deklaratoryjny i potwierdzają już istniejące prawo pobytu. Zatem, aby stwierdzić, czy pobyt obywatela UE jest legalny do celów nabycia prawa stałego pobytu na podstawie art. 16 ust. 1 dyrektywy 2004/38/WE nie wystarczy samo posiadanie dokumentu potwierdzającego prawo pobytu, ale także niezbędne jest spełnianie przesłanek do posiadania tego prawa. Z uwagi na treść wskazanych wyżej orzeczeń nie można s</w:t>
      </w:r>
      <w:r w:rsidR="000C08F2">
        <w:rPr>
          <w:rFonts w:ascii="Times New Roman" w:hAnsi="Times New Roman" w:cs="Times New Roman"/>
          <w:sz w:val="24"/>
          <w:szCs w:val="24"/>
        </w:rPr>
        <w:t xml:space="preserve">tworzyć regulacji prawnej, która przewidywałaby, </w:t>
      </w:r>
      <w:r w:rsidRPr="00487495">
        <w:rPr>
          <w:rFonts w:ascii="Times New Roman" w:hAnsi="Times New Roman" w:cs="Times New Roman"/>
          <w:sz w:val="24"/>
          <w:szCs w:val="24"/>
        </w:rPr>
        <w:t>ż</w:t>
      </w:r>
      <w:r w:rsidR="000C08F2">
        <w:rPr>
          <w:rFonts w:ascii="Times New Roman" w:hAnsi="Times New Roman" w:cs="Times New Roman"/>
          <w:sz w:val="24"/>
          <w:szCs w:val="24"/>
        </w:rPr>
        <w:t>e</w:t>
      </w:r>
      <w:r w:rsidRPr="00487495">
        <w:rPr>
          <w:rFonts w:ascii="Times New Roman" w:hAnsi="Times New Roman" w:cs="Times New Roman"/>
          <w:sz w:val="24"/>
          <w:szCs w:val="24"/>
        </w:rPr>
        <w:t xml:space="preserve"> obywatel UE lub człon</w:t>
      </w:r>
      <w:r w:rsidR="000C08F2">
        <w:rPr>
          <w:rFonts w:ascii="Times New Roman" w:hAnsi="Times New Roman" w:cs="Times New Roman"/>
          <w:sz w:val="24"/>
          <w:szCs w:val="24"/>
        </w:rPr>
        <w:t>ek rodziny obywatela</w:t>
      </w:r>
      <w:r w:rsidRPr="00487495">
        <w:rPr>
          <w:rFonts w:ascii="Times New Roman" w:hAnsi="Times New Roman" w:cs="Times New Roman"/>
          <w:sz w:val="24"/>
          <w:szCs w:val="24"/>
        </w:rPr>
        <w:t xml:space="preserve"> UE potwierdza posiadanie prawa stałego pobytu posiadaniem przez okres 5 lat zaświadczenia o zarejestrowaniu pobytu lub karty pobytowej. </w:t>
      </w:r>
    </w:p>
    <w:p w14:paraId="3A078908" w14:textId="6053C384"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4. – </w:t>
      </w:r>
      <w:r w:rsidRPr="00487495">
        <w:rPr>
          <w:rFonts w:ascii="Times New Roman" w:hAnsi="Times New Roman" w:cs="Times New Roman"/>
          <w:sz w:val="24"/>
          <w:szCs w:val="24"/>
        </w:rPr>
        <w:t xml:space="preserve">odnośnie wątpliwości w zakresie zasadności rozróżnienia zawartej w art. 60 ust 3 i art. 65o przesłanki unieważnienia dokumentu potwierdzającego prawo stałego pobytu i karty </w:t>
      </w:r>
      <w:r w:rsidRPr="00487495">
        <w:rPr>
          <w:rFonts w:ascii="Times New Roman" w:hAnsi="Times New Roman" w:cs="Times New Roman"/>
          <w:sz w:val="24"/>
          <w:szCs w:val="24"/>
        </w:rPr>
        <w:lastRenderedPageBreak/>
        <w:t>stałego poby</w:t>
      </w:r>
      <w:r w:rsidR="000C08F2">
        <w:rPr>
          <w:rFonts w:ascii="Times New Roman" w:hAnsi="Times New Roman" w:cs="Times New Roman"/>
          <w:sz w:val="24"/>
          <w:szCs w:val="24"/>
        </w:rPr>
        <w:t>tu po opuszczeniu terytorium RP, należy zauważyć, że</w:t>
      </w:r>
      <w:r w:rsidRPr="00487495">
        <w:rPr>
          <w:rFonts w:ascii="Times New Roman" w:hAnsi="Times New Roman" w:cs="Times New Roman"/>
          <w:sz w:val="24"/>
          <w:szCs w:val="24"/>
        </w:rPr>
        <w:t xml:space="preserve"> wprowadzone w projekcie ustawy uregulowania prawne dotyczące unieważnienia dokumentu potwierdzającego prawo stałego pobytu lub karty stałego pobytu obywatelowi Zjednoczonego Królestwa lub członkowi jego rodzimy wynikają z konieczności dostosowania polskiego prawa do Umowy wystąpienia. Zgodnie z art. 15 ust. 3 Umowy wystąpienia utrata nabytego prawa stałego pobytu może nastąpić jedynie w wyniku nieobecności w państwie przyjmującym przez okres przekraczający 5 kolejnych lat.</w:t>
      </w:r>
    </w:p>
    <w:p w14:paraId="4E20C947" w14:textId="68CA561B"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5. – </w:t>
      </w:r>
      <w:r w:rsidRPr="00487495">
        <w:rPr>
          <w:rFonts w:ascii="Times New Roman" w:hAnsi="Times New Roman" w:cs="Times New Roman"/>
          <w:sz w:val="24"/>
          <w:szCs w:val="24"/>
        </w:rPr>
        <w:t xml:space="preserve">odnośnie uwzględnienia sytuacji, gdy istnieje domniemanie posiadania obywatelstwa polskiego przez obywatela UE, członka jego rodziny, obywatela Zjednoczonego Królestwa </w:t>
      </w:r>
      <w:r w:rsidR="000C08F2">
        <w:rPr>
          <w:rFonts w:ascii="Times New Roman" w:hAnsi="Times New Roman" w:cs="Times New Roman"/>
          <w:sz w:val="24"/>
          <w:szCs w:val="24"/>
        </w:rPr>
        <w:br/>
      </w:r>
      <w:r w:rsidRPr="00487495">
        <w:rPr>
          <w:rFonts w:ascii="Times New Roman" w:hAnsi="Times New Roman" w:cs="Times New Roman"/>
          <w:sz w:val="24"/>
          <w:szCs w:val="24"/>
        </w:rPr>
        <w:t>i członka jego rodziny – w ocenie projektodawcy uwaga nie zasługuje na uwz</w:t>
      </w:r>
      <w:r w:rsidR="000C08F2">
        <w:rPr>
          <w:rFonts w:ascii="Times New Roman" w:hAnsi="Times New Roman" w:cs="Times New Roman"/>
          <w:sz w:val="24"/>
          <w:szCs w:val="24"/>
        </w:rPr>
        <w:t>ględnienie ponieważ obywatele p</w:t>
      </w:r>
      <w:r w:rsidRPr="00487495">
        <w:rPr>
          <w:rFonts w:ascii="Times New Roman" w:hAnsi="Times New Roman" w:cs="Times New Roman"/>
          <w:sz w:val="24"/>
          <w:szCs w:val="24"/>
        </w:rPr>
        <w:t xml:space="preserve">olscy znajdują się poza zakresem ustawy o wjeździe obywateli UE. </w:t>
      </w:r>
    </w:p>
    <w:p w14:paraId="5AD68CAC" w14:textId="7B440F50"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6. – </w:t>
      </w:r>
      <w:r w:rsidRPr="00487495">
        <w:rPr>
          <w:rFonts w:ascii="Times New Roman" w:hAnsi="Times New Roman" w:cs="Times New Roman"/>
          <w:sz w:val="24"/>
          <w:szCs w:val="24"/>
        </w:rPr>
        <w:t xml:space="preserve">odnośnie wprowadzenia do przepisów ustawy o cudzoziemcach dodatkowej zmiany polegającej na pozyskiwaniu przez Szefa Urzędu do Spraw Cudzoziemców oraz wojewody, </w:t>
      </w:r>
      <w:r w:rsidR="000C08F2">
        <w:rPr>
          <w:rFonts w:ascii="Times New Roman" w:hAnsi="Times New Roman" w:cs="Times New Roman"/>
          <w:sz w:val="24"/>
          <w:szCs w:val="24"/>
        </w:rPr>
        <w:br/>
      </w:r>
      <w:r w:rsidRPr="00487495">
        <w:rPr>
          <w:rFonts w:ascii="Times New Roman" w:hAnsi="Times New Roman" w:cs="Times New Roman"/>
          <w:sz w:val="24"/>
          <w:szCs w:val="24"/>
        </w:rPr>
        <w:t xml:space="preserve">w celu realizacji zadań określonych w ustawie o cudzoziemcach, informacji o przekroczeniach granicy Rzeczypospolitej Polskiej przez cudzoziemca z systemu teleinformatycznego Straży Granicznej – należy wskazać, że powyższa propozycja </w:t>
      </w:r>
      <w:r w:rsidR="000C08F2">
        <w:rPr>
          <w:rFonts w:ascii="Times New Roman" w:hAnsi="Times New Roman" w:cs="Times New Roman"/>
          <w:sz w:val="24"/>
          <w:szCs w:val="24"/>
        </w:rPr>
        <w:t>jest zasadna</w:t>
      </w:r>
      <w:r w:rsidRPr="00487495">
        <w:rPr>
          <w:rFonts w:ascii="Times New Roman" w:hAnsi="Times New Roman" w:cs="Times New Roman"/>
          <w:sz w:val="24"/>
          <w:szCs w:val="24"/>
        </w:rPr>
        <w:t>, jednakże z uwagi na to, iż zmiana ta wykracza poza zakres regulacji projektowanej ustawy o wjeździe obywateli UE projektodawca proponuje umieszczenie ww. przepisu w aktualnie nowelizowanej ustawie o cudzoziemcach.</w:t>
      </w:r>
    </w:p>
    <w:p w14:paraId="73DF8131" w14:textId="77777777" w:rsidR="00CC3D65" w:rsidRPr="00487495" w:rsidRDefault="00CC3D65" w:rsidP="00487495">
      <w:pPr>
        <w:spacing w:after="0" w:line="312" w:lineRule="auto"/>
        <w:jc w:val="both"/>
        <w:rPr>
          <w:rFonts w:ascii="Times New Roman" w:hAnsi="Times New Roman" w:cs="Times New Roman"/>
          <w:sz w:val="24"/>
          <w:szCs w:val="24"/>
        </w:rPr>
      </w:pPr>
    </w:p>
    <w:p w14:paraId="606C256B" w14:textId="1B9804E7"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Stanowisko projektodawcy odnośnie uwag zgłoszonych pismem nr WSOC.V1.6156.90.2020.8 z dnia 24 sierpnia 2020 r. przez Wojewodę Kujawsko-Pomorskiego:</w:t>
      </w:r>
    </w:p>
    <w:p w14:paraId="2FE45403" w14:textId="7B3B6916"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1. – </w:t>
      </w:r>
      <w:r w:rsidRPr="00487495">
        <w:rPr>
          <w:rFonts w:ascii="Times New Roman" w:hAnsi="Times New Roman" w:cs="Times New Roman"/>
          <w:sz w:val="24"/>
          <w:szCs w:val="24"/>
        </w:rPr>
        <w:t xml:space="preserve">odnośnie wyjaśnienia według jakich kryteriów należy badać, czy życie rodzinne </w:t>
      </w:r>
      <w:r w:rsidR="000C08F2">
        <w:rPr>
          <w:rFonts w:ascii="Times New Roman" w:hAnsi="Times New Roman" w:cs="Times New Roman"/>
          <w:sz w:val="24"/>
          <w:szCs w:val="24"/>
        </w:rPr>
        <w:br/>
      </w:r>
      <w:r w:rsidRPr="00487495">
        <w:rPr>
          <w:rFonts w:ascii="Times New Roman" w:hAnsi="Times New Roman" w:cs="Times New Roman"/>
          <w:sz w:val="24"/>
          <w:szCs w:val="24"/>
        </w:rPr>
        <w:t>z obywatelem RP, o którym mowa w art. 2 pkt 4 lit. b, zostało „rozwinięte lub umocnione” – zdaniem projektodawcy ustanowienie w ustawie kryterium pozwalającego na ocenę, czy życie rodzinne z obywatelem Polski zostało rozwinięte lub umocnione w innym państwie członkowskim nie wyma</w:t>
      </w:r>
      <w:r w:rsidR="000C08F2">
        <w:rPr>
          <w:rFonts w:ascii="Times New Roman" w:hAnsi="Times New Roman" w:cs="Times New Roman"/>
          <w:sz w:val="24"/>
          <w:szCs w:val="24"/>
        </w:rPr>
        <w:t>ga szczegółowego doprecyzowania</w:t>
      </w:r>
      <w:r w:rsidRPr="00487495">
        <w:rPr>
          <w:rFonts w:ascii="Times New Roman" w:hAnsi="Times New Roman" w:cs="Times New Roman"/>
          <w:sz w:val="24"/>
          <w:szCs w:val="24"/>
        </w:rPr>
        <w:t xml:space="preserve"> ponieważ będzie to przedmiotem wyjaśnień dotyczących stosowania prawa.   </w:t>
      </w:r>
    </w:p>
    <w:p w14:paraId="6577BE45" w14:textId="72071138"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2. – </w:t>
      </w:r>
      <w:r w:rsidRPr="00487495">
        <w:rPr>
          <w:rFonts w:ascii="Times New Roman" w:hAnsi="Times New Roman" w:cs="Times New Roman"/>
          <w:sz w:val="24"/>
          <w:szCs w:val="24"/>
        </w:rPr>
        <w:t>odnośnie wątpliwości jak należy stosować przepisy w przypadku odstąpienia od osobistego stawiennictwa podczas składania wniosku, należy podkreślić, iż intencją projektodawcy było, aby w pewnych szczególnych sytuacj</w:t>
      </w:r>
      <w:r w:rsidR="000C08F2">
        <w:rPr>
          <w:rFonts w:ascii="Times New Roman" w:hAnsi="Times New Roman" w:cs="Times New Roman"/>
          <w:sz w:val="24"/>
          <w:szCs w:val="24"/>
        </w:rPr>
        <w:t xml:space="preserve">ach wnioskodawca nie musiał </w:t>
      </w:r>
      <w:r w:rsidRPr="00487495">
        <w:rPr>
          <w:rFonts w:ascii="Times New Roman" w:hAnsi="Times New Roman" w:cs="Times New Roman"/>
          <w:sz w:val="24"/>
          <w:szCs w:val="24"/>
        </w:rPr>
        <w:t>stawiać się osobiście w urzędzie wojewódzkim. Natomiast samo podpisanie wni</w:t>
      </w:r>
      <w:r w:rsidR="000C08F2">
        <w:rPr>
          <w:rFonts w:ascii="Times New Roman" w:hAnsi="Times New Roman" w:cs="Times New Roman"/>
          <w:sz w:val="24"/>
          <w:szCs w:val="24"/>
        </w:rPr>
        <w:t>osku jest czynnością zastrzeżoną</w:t>
      </w:r>
      <w:r w:rsidRPr="00487495">
        <w:rPr>
          <w:rFonts w:ascii="Times New Roman" w:hAnsi="Times New Roman" w:cs="Times New Roman"/>
          <w:sz w:val="24"/>
          <w:szCs w:val="24"/>
        </w:rPr>
        <w:t xml:space="preserve"> dla samego wnioskodawcy, z wyłączeniem sytuacji czasowej lub trwałej niezdolności do czynności prawnych.   </w:t>
      </w:r>
    </w:p>
    <w:p w14:paraId="3DCB4C56" w14:textId="77777777"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3. – </w:t>
      </w:r>
      <w:r w:rsidRPr="00487495">
        <w:rPr>
          <w:rFonts w:ascii="Times New Roman" w:hAnsi="Times New Roman" w:cs="Times New Roman"/>
          <w:sz w:val="24"/>
          <w:szCs w:val="24"/>
        </w:rPr>
        <w:t xml:space="preserve">odnośnie pytania, na podstawie jakich kryteriów organ prowadzący postępowanie o zarejestrowanie pobytu ustala, czy spełniony został warunek posiadania wystarczających środków finansowych, o którym mowa w art. 16 pkt 2 lub 3 lit. a – należy stwierdzić, że uwaga ta </w:t>
      </w:r>
      <w:r w:rsidRPr="000C08F2">
        <w:rPr>
          <w:rFonts w:ascii="Times New Roman" w:hAnsi="Times New Roman" w:cs="Times New Roman"/>
          <w:sz w:val="24"/>
          <w:szCs w:val="24"/>
        </w:rPr>
        <w:t>nie może zostać uwzględniona</w:t>
      </w:r>
      <w:r w:rsidRPr="00487495">
        <w:rPr>
          <w:rFonts w:ascii="Times New Roman" w:hAnsi="Times New Roman" w:cs="Times New Roman"/>
          <w:sz w:val="24"/>
          <w:szCs w:val="24"/>
        </w:rPr>
        <w:t xml:space="preserve">. Zgodnie z art. 8 ust. 4 dyrektywy 2004/38/WE Państwa </w:t>
      </w:r>
      <w:r w:rsidRPr="00487495">
        <w:rPr>
          <w:rFonts w:ascii="Times New Roman" w:hAnsi="Times New Roman" w:cs="Times New Roman"/>
          <w:sz w:val="24"/>
          <w:szCs w:val="24"/>
        </w:rPr>
        <w:lastRenderedPageBreak/>
        <w:t>Członkowskie nie mogą ustanowić określonej kwoty, którą uznają za „wystarczające środki”, lecz muszą uwzględnić osobistą sytuację danej osoby. We wszystkich przypadkach kwota ta nie powinna być wyższa niż próg, poniżej którego obywatele przyjmującego Państwa Członkowskiego kwalifikują się do pomocy społecznej, lub – jeżeli to kryterium nie ma zastosowania – wyższa niż minimalna renta z tytułu zabezpieczenia społecznego wypłacana przez przyjmujące Państwo Członkowskie. Uszczegółowienie zatem pojęcia „wystarczające środki finansowe” byłoby sprzeczne z cytowanym wyżej przepisem dyrektywy.</w:t>
      </w:r>
    </w:p>
    <w:p w14:paraId="3B3C4EF7" w14:textId="77777777" w:rsidR="00CC3D65" w:rsidRPr="00487495" w:rsidRDefault="00CC3D65" w:rsidP="00487495">
      <w:pPr>
        <w:spacing w:after="0" w:line="312" w:lineRule="auto"/>
        <w:jc w:val="both"/>
        <w:rPr>
          <w:rFonts w:ascii="Times New Roman" w:hAnsi="Times New Roman" w:cs="Times New Roman"/>
          <w:sz w:val="24"/>
          <w:szCs w:val="24"/>
        </w:rPr>
      </w:pPr>
    </w:p>
    <w:p w14:paraId="71938B1E" w14:textId="22538DD4" w:rsidR="00526431" w:rsidRDefault="008C29AA" w:rsidP="00526431">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Stanowisko projektodawcy odnośnie uwag zgłoszonych pismem z dnia 21 sierpnia 2020 r. przez Ambasadę Brytyjską w Warszawie</w:t>
      </w:r>
      <w:r w:rsidR="00C812A3">
        <w:rPr>
          <w:rFonts w:ascii="Times New Roman" w:hAnsi="Times New Roman" w:cs="Times New Roman"/>
          <w:sz w:val="24"/>
          <w:szCs w:val="24"/>
        </w:rPr>
        <w:t xml:space="preserve"> – </w:t>
      </w:r>
      <w:r w:rsidR="00526431" w:rsidRPr="00487495">
        <w:rPr>
          <w:rFonts w:ascii="Times New Roman" w:hAnsi="Times New Roman" w:cs="Times New Roman"/>
          <w:sz w:val="24"/>
          <w:szCs w:val="24"/>
        </w:rPr>
        <w:t>projekt ustawy zosta</w:t>
      </w:r>
      <w:r w:rsidR="00526431">
        <w:rPr>
          <w:rFonts w:ascii="Times New Roman" w:hAnsi="Times New Roman" w:cs="Times New Roman"/>
          <w:sz w:val="24"/>
          <w:szCs w:val="24"/>
        </w:rPr>
        <w:t>ł</w:t>
      </w:r>
      <w:r w:rsidR="00526431" w:rsidRPr="00487495">
        <w:rPr>
          <w:rFonts w:ascii="Times New Roman" w:hAnsi="Times New Roman" w:cs="Times New Roman"/>
          <w:sz w:val="24"/>
          <w:szCs w:val="24"/>
        </w:rPr>
        <w:t xml:space="preserve"> uzupełniony o rozwiązania prawne przewidziane dla obywateli Zjednoczonego Królestwa Wielkiej Brytanii i Irlandii Północnej będących pracownikami delegowanymi.</w:t>
      </w:r>
    </w:p>
    <w:p w14:paraId="444CFEED" w14:textId="520CC4D0" w:rsidR="00526431" w:rsidRPr="00403005" w:rsidRDefault="00526431" w:rsidP="00526431">
      <w:pPr>
        <w:spacing w:after="0" w:line="312" w:lineRule="auto"/>
        <w:ind w:firstLine="708"/>
        <w:jc w:val="both"/>
        <w:rPr>
          <w:rFonts w:ascii="Times New Roman" w:hAnsi="Times New Roman" w:cs="Times New Roman"/>
          <w:sz w:val="24"/>
          <w:szCs w:val="24"/>
        </w:rPr>
      </w:pPr>
      <w:r w:rsidRPr="00403005">
        <w:rPr>
          <w:rFonts w:ascii="Times New Roman" w:hAnsi="Times New Roman" w:cs="Times New Roman"/>
          <w:sz w:val="24"/>
          <w:szCs w:val="24"/>
        </w:rPr>
        <w:t>W związku z uwagą ww. Ambasady dotyczącą objęcia projektowanymi rozwiązaniami ma</w:t>
      </w:r>
      <w:r>
        <w:rPr>
          <w:rFonts w:ascii="Times New Roman" w:hAnsi="Times New Roman" w:cs="Times New Roman"/>
          <w:sz w:val="24"/>
          <w:szCs w:val="24"/>
        </w:rPr>
        <w:t>jącymi na celu wdrożenie Umowy wystąpienia</w:t>
      </w:r>
      <w:r w:rsidRPr="00403005">
        <w:rPr>
          <w:rFonts w:ascii="Times New Roman" w:hAnsi="Times New Roman" w:cs="Times New Roman"/>
          <w:sz w:val="24"/>
          <w:szCs w:val="24"/>
        </w:rPr>
        <w:t xml:space="preserve"> również obywateli Zjednoczonego Królestwa, którzy nie są objęci zakresem tej umowy, jeżeli </w:t>
      </w:r>
      <w:r>
        <w:rPr>
          <w:rFonts w:ascii="Times New Roman" w:hAnsi="Times New Roman" w:cs="Times New Roman"/>
          <w:sz w:val="24"/>
          <w:szCs w:val="24"/>
        </w:rPr>
        <w:t>chodzi</w:t>
      </w:r>
      <w:r w:rsidRPr="00403005">
        <w:rPr>
          <w:rFonts w:ascii="Times New Roman" w:hAnsi="Times New Roman" w:cs="Times New Roman"/>
          <w:sz w:val="24"/>
          <w:szCs w:val="24"/>
        </w:rPr>
        <w:t xml:space="preserve"> o uprawnienia pobytowe, tj. tych obywateli Zjednoczonego Królestwa, którzy dotąd byli pracownikami delegowanymi na terytorium Rzeczypospolitej Polskiej, </w:t>
      </w:r>
      <w:r>
        <w:rPr>
          <w:rFonts w:ascii="Times New Roman" w:hAnsi="Times New Roman" w:cs="Times New Roman"/>
          <w:sz w:val="24"/>
          <w:szCs w:val="24"/>
        </w:rPr>
        <w:t>zaproponowano</w:t>
      </w:r>
      <w:r w:rsidRPr="00403005">
        <w:rPr>
          <w:rFonts w:ascii="Times New Roman" w:hAnsi="Times New Roman" w:cs="Times New Roman"/>
          <w:sz w:val="24"/>
          <w:szCs w:val="24"/>
        </w:rPr>
        <w:t xml:space="preserve"> wprowadzenie do ustawy z dnia </w:t>
      </w:r>
      <w:r>
        <w:rPr>
          <w:rFonts w:ascii="Times New Roman" w:hAnsi="Times New Roman" w:cs="Times New Roman"/>
          <w:sz w:val="24"/>
          <w:szCs w:val="24"/>
        </w:rPr>
        <w:br/>
      </w:r>
      <w:r w:rsidRPr="00403005">
        <w:rPr>
          <w:rFonts w:ascii="Times New Roman" w:hAnsi="Times New Roman" w:cs="Times New Roman"/>
          <w:sz w:val="24"/>
          <w:szCs w:val="24"/>
        </w:rPr>
        <w:t xml:space="preserve">12 grudnia 2013 r. o cudzoziemcach podstaw materialnoprawnych udzielenia zezwolenia na pobyt czasowy dla obywateli Zjednoczonego Królestwa, którzy znajdują się w takiej sytuacji (art. 186 ust. 1 pkt 10 ustawy o cudzoziemcach) oraz udzielenia zezwolenia na pobyt stały </w:t>
      </w:r>
      <w:r>
        <w:rPr>
          <w:rFonts w:ascii="Times New Roman" w:hAnsi="Times New Roman" w:cs="Times New Roman"/>
          <w:sz w:val="24"/>
          <w:szCs w:val="24"/>
        </w:rPr>
        <w:br/>
      </w:r>
      <w:r w:rsidRPr="00403005">
        <w:rPr>
          <w:rFonts w:ascii="Times New Roman" w:hAnsi="Times New Roman" w:cs="Times New Roman"/>
          <w:sz w:val="24"/>
          <w:szCs w:val="24"/>
        </w:rPr>
        <w:t xml:space="preserve">w dalszej perspektywie, po wcześniejszym uzyskaniu tego rodzaju szczególnego zezwolenia na pobyt czasowy (art. 195 ust. 1 pkt 10 ustawy o cudzoziemcach). Projektując te rozwiązania </w:t>
      </w:r>
      <w:r>
        <w:rPr>
          <w:rFonts w:ascii="Times New Roman" w:hAnsi="Times New Roman" w:cs="Times New Roman"/>
          <w:sz w:val="24"/>
          <w:szCs w:val="24"/>
        </w:rPr>
        <w:t>projektodawca</w:t>
      </w:r>
      <w:r w:rsidRPr="00403005">
        <w:rPr>
          <w:rFonts w:ascii="Times New Roman" w:hAnsi="Times New Roman" w:cs="Times New Roman"/>
          <w:sz w:val="24"/>
          <w:szCs w:val="24"/>
        </w:rPr>
        <w:t xml:space="preserve"> inspirował się rozwiązaniami wynikającymi z ustawy z dnia 15 marca 2019 r. </w:t>
      </w:r>
      <w:r>
        <w:rPr>
          <w:rFonts w:ascii="Times New Roman" w:hAnsi="Times New Roman" w:cs="Times New Roman"/>
          <w:sz w:val="24"/>
          <w:szCs w:val="24"/>
        </w:rPr>
        <w:br/>
      </w:r>
      <w:r w:rsidRPr="00403005">
        <w:rPr>
          <w:rFonts w:ascii="Times New Roman" w:hAnsi="Times New Roman" w:cs="Times New Roman"/>
          <w:sz w:val="24"/>
          <w:szCs w:val="24"/>
        </w:rPr>
        <w:t>o uregulowaniu niektórych spraw w związku z wystąpieniem Zjednoczonego Królestwa Wielkiej Brytanii i Irlandii Północnej z Unii Europejskiej i Europejskiej Wspólnoty Energii Atomowej bez zawarcia umowy, o której mowa w art. 50 ust. 2 Traktatu o Unii Europejskie</w:t>
      </w:r>
      <w:r>
        <w:rPr>
          <w:rFonts w:ascii="Times New Roman" w:hAnsi="Times New Roman" w:cs="Times New Roman"/>
          <w:sz w:val="24"/>
          <w:szCs w:val="24"/>
        </w:rPr>
        <w:t>j (Dz. U. poz. 622), która</w:t>
      </w:r>
      <w:r w:rsidRPr="00403005">
        <w:rPr>
          <w:rFonts w:ascii="Times New Roman" w:hAnsi="Times New Roman" w:cs="Times New Roman"/>
          <w:sz w:val="24"/>
          <w:szCs w:val="24"/>
        </w:rPr>
        <w:t xml:space="preserve"> nie weszła w życie (albowiem jej wejście w życie było uwarunkowanie wystąpieniem UK z UE i EURATOM bez zawarcia Umowy wystąpienia). W szczególności ta inspiracja była istotna jeżeli </w:t>
      </w:r>
      <w:r>
        <w:rPr>
          <w:rFonts w:ascii="Times New Roman" w:hAnsi="Times New Roman" w:cs="Times New Roman"/>
          <w:sz w:val="24"/>
          <w:szCs w:val="24"/>
        </w:rPr>
        <w:t xml:space="preserve">chodzi </w:t>
      </w:r>
      <w:r w:rsidRPr="00403005">
        <w:rPr>
          <w:rFonts w:ascii="Times New Roman" w:hAnsi="Times New Roman" w:cs="Times New Roman"/>
          <w:sz w:val="24"/>
          <w:szCs w:val="24"/>
        </w:rPr>
        <w:t xml:space="preserve">o długość okresu, na jaki będzie udzielane zezwolenie na pobyt czasowy, o którym mowa w art. 186 ust. 1 pkt 10 ustawy o cudzoziemcach, tj. okresu 5 lat. Sięgnięcie po klasyczne rozwiązania dla obywateli państw trzecich (zezwolenie na pobyt czasowy, zezwolenie na pobyt stały) pozwoli z jednej strony na uniknięcie problemu rozciągnięcia rozwiązań wprost dedykowanych wykonaniu Umowy wystąpienia na cudzoziemców, którzy nie pozostają w jej zakresie, jeżeli </w:t>
      </w:r>
      <w:r>
        <w:rPr>
          <w:rFonts w:ascii="Times New Roman" w:hAnsi="Times New Roman" w:cs="Times New Roman"/>
          <w:sz w:val="24"/>
          <w:szCs w:val="24"/>
        </w:rPr>
        <w:t>chodzi</w:t>
      </w:r>
      <w:r w:rsidRPr="00403005">
        <w:rPr>
          <w:rFonts w:ascii="Times New Roman" w:hAnsi="Times New Roman" w:cs="Times New Roman"/>
          <w:sz w:val="24"/>
          <w:szCs w:val="24"/>
        </w:rPr>
        <w:t xml:space="preserve"> o prawa pobytowe. Układ tych instytucji (wraz z towarzyszącymi im zwolnieniami z opłat skarbowych i opłat za wydanie kart pobytu) zbliży zaś znacząco status beneficjentów tych rozwiązań do beneficjentów rozwiązań dedykowanych wykonaniu Umowy wystąpienia, co powinno </w:t>
      </w:r>
      <w:r>
        <w:rPr>
          <w:rFonts w:ascii="Times New Roman" w:hAnsi="Times New Roman" w:cs="Times New Roman"/>
          <w:sz w:val="24"/>
          <w:szCs w:val="24"/>
        </w:rPr>
        <w:t>sprawić</w:t>
      </w:r>
      <w:r w:rsidRPr="00403005">
        <w:rPr>
          <w:rFonts w:ascii="Times New Roman" w:hAnsi="Times New Roman" w:cs="Times New Roman"/>
          <w:sz w:val="24"/>
          <w:szCs w:val="24"/>
        </w:rPr>
        <w:t xml:space="preserve">, że zasadniczo postulat strony brytyjskiej (do którego – mając na uwadze przebieg procesu legislacyjnego, który doprowadził do uchwalenia dnia 15 marca 2019 r. o uregulowaniu niektórych spraw w związku </w:t>
      </w:r>
      <w:r w:rsidRPr="00403005">
        <w:rPr>
          <w:rFonts w:ascii="Times New Roman" w:hAnsi="Times New Roman" w:cs="Times New Roman"/>
          <w:sz w:val="24"/>
          <w:szCs w:val="24"/>
        </w:rPr>
        <w:lastRenderedPageBreak/>
        <w:t>z wystąpieniem Zjednoczonego Królestwa Wielkiej Brytanii i Irlandii Północnej z Unii Europejskiej i Europejskiej Wspólnoty Energii Atomowej bez zawarcia umowy, o której mowa w art. 50 ust. 2 Traktatu o Unii Europejskiej – należy odnieść się pozytywnie, oczywiście w zakresie zabezpieczenia praw pobytowy</w:t>
      </w:r>
      <w:r>
        <w:rPr>
          <w:rFonts w:ascii="Times New Roman" w:hAnsi="Times New Roman" w:cs="Times New Roman"/>
          <w:sz w:val="24"/>
          <w:szCs w:val="24"/>
        </w:rPr>
        <w:t>ch obywateli brytyjskich) zostanie</w:t>
      </w:r>
      <w:r w:rsidRPr="00403005">
        <w:rPr>
          <w:rFonts w:ascii="Times New Roman" w:hAnsi="Times New Roman" w:cs="Times New Roman"/>
          <w:sz w:val="24"/>
          <w:szCs w:val="24"/>
        </w:rPr>
        <w:t xml:space="preserve"> uwzględniony. </w:t>
      </w:r>
      <w:r>
        <w:rPr>
          <w:rFonts w:ascii="Times New Roman" w:hAnsi="Times New Roman" w:cs="Times New Roman"/>
          <w:sz w:val="24"/>
          <w:szCs w:val="24"/>
        </w:rPr>
        <w:t>Projektodawca</w:t>
      </w:r>
      <w:r w:rsidRPr="00403005">
        <w:rPr>
          <w:rFonts w:ascii="Times New Roman" w:hAnsi="Times New Roman" w:cs="Times New Roman"/>
          <w:sz w:val="24"/>
          <w:szCs w:val="24"/>
        </w:rPr>
        <w:t xml:space="preserve"> proponuje również, aby beneficjenci przyszłych zezwoleń na pobyt czasowy zostali zwolnieni z obowiązku posiadania zezwolenia na pracę, co umożliwi im dalszą aktywność na polskim rynku pracy, jak również, aby z wymogu posiadania zezwolenia na pracę zostali również zwolnieni w okresie następującym bezpośrednio po końcu okresu przejściowego. Jest to rozwiązanie, które umożliwi im płynne przejście do nowego statusu pobytowego, bez uszczerbku dla możliwości dalszej aktywności ekonomicznej. </w:t>
      </w:r>
    </w:p>
    <w:p w14:paraId="54F8027C" w14:textId="39E3C1EE" w:rsidR="00526431" w:rsidRDefault="00526431" w:rsidP="00526431">
      <w:pPr>
        <w:spacing w:after="0" w:line="312" w:lineRule="auto"/>
        <w:ind w:firstLine="708"/>
        <w:jc w:val="both"/>
        <w:rPr>
          <w:rFonts w:ascii="Times New Roman" w:hAnsi="Times New Roman" w:cs="Times New Roman"/>
          <w:sz w:val="24"/>
          <w:szCs w:val="24"/>
        </w:rPr>
      </w:pPr>
    </w:p>
    <w:p w14:paraId="6488A53F" w14:textId="5FCA00BA" w:rsidR="004D3B8D" w:rsidRDefault="008C29AA"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Stanowisko projektodawcy o</w:t>
      </w:r>
      <w:r w:rsidR="00CC3D65" w:rsidRPr="00487495">
        <w:rPr>
          <w:rFonts w:ascii="Times New Roman" w:hAnsi="Times New Roman" w:cs="Times New Roman"/>
          <w:b/>
          <w:sz w:val="24"/>
          <w:szCs w:val="24"/>
        </w:rPr>
        <w:t>dnośnie zapytań zgłoszonych drogą elektroniczną w dniu 23 sierpnia 2020 r. przez Brytyjsko-Polską Izbę Handlową</w:t>
      </w:r>
      <w:r w:rsidRPr="00487495">
        <w:rPr>
          <w:rFonts w:ascii="Times New Roman" w:hAnsi="Times New Roman" w:cs="Times New Roman"/>
          <w:b/>
          <w:sz w:val="24"/>
          <w:szCs w:val="24"/>
        </w:rPr>
        <w:t xml:space="preserve"> – </w:t>
      </w:r>
      <w:r w:rsidR="00CC3D65" w:rsidRPr="00487495">
        <w:rPr>
          <w:rFonts w:ascii="Times New Roman" w:hAnsi="Times New Roman" w:cs="Times New Roman"/>
          <w:sz w:val="24"/>
          <w:szCs w:val="24"/>
        </w:rPr>
        <w:t>należy podkreślić, iż nie mają one charakteru uwag do projektowanych przepisów prawa, lecz stanowią zapytania dotyczące praktycznego stosowania projektowanych przepisów prawa.</w:t>
      </w:r>
      <w:r w:rsidR="00F333F4">
        <w:rPr>
          <w:rFonts w:ascii="Times New Roman" w:hAnsi="Times New Roman" w:cs="Times New Roman"/>
          <w:sz w:val="24"/>
          <w:szCs w:val="24"/>
        </w:rPr>
        <w:t xml:space="preserve"> </w:t>
      </w:r>
    </w:p>
    <w:p w14:paraId="296F1D04" w14:textId="77777777" w:rsidR="00403005" w:rsidRDefault="00403005" w:rsidP="00487495">
      <w:pPr>
        <w:spacing w:after="0" w:line="312" w:lineRule="auto"/>
        <w:jc w:val="both"/>
        <w:rPr>
          <w:rFonts w:ascii="Times New Roman" w:hAnsi="Times New Roman" w:cs="Times New Roman"/>
          <w:b/>
          <w:sz w:val="24"/>
          <w:szCs w:val="24"/>
        </w:rPr>
      </w:pPr>
    </w:p>
    <w:p w14:paraId="4F0415A3" w14:textId="4AC2ACE1"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Stanowisko projektodawcy odnośnie uwag zgłoszonych pismem z dnia 31 sierpnia 2020 r. przez Instytut na Rzecz Państwa Prawa:</w:t>
      </w:r>
    </w:p>
    <w:p w14:paraId="6ABEE907" w14:textId="7C796D06"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1. art. 2 pkt 4 lit. b ustawy o wjeździe na terytorium Rzeczypospolitej Polskiej – </w:t>
      </w:r>
      <w:r w:rsidR="00C812A3">
        <w:rPr>
          <w:rFonts w:ascii="Times New Roman" w:hAnsi="Times New Roman" w:cs="Times New Roman"/>
          <w:b/>
          <w:sz w:val="24"/>
          <w:szCs w:val="24"/>
        </w:rPr>
        <w:br/>
      </w:r>
      <w:r w:rsidRPr="00487495">
        <w:rPr>
          <w:rFonts w:ascii="Times New Roman" w:hAnsi="Times New Roman" w:cs="Times New Roman"/>
          <w:sz w:val="24"/>
          <w:szCs w:val="24"/>
        </w:rPr>
        <w:t xml:space="preserve">w ocenie projektodawcy uwaga ta </w:t>
      </w:r>
      <w:r w:rsidRPr="00C812A3">
        <w:rPr>
          <w:rFonts w:ascii="Times New Roman" w:hAnsi="Times New Roman" w:cs="Times New Roman"/>
          <w:sz w:val="24"/>
          <w:szCs w:val="24"/>
        </w:rPr>
        <w:t>nie zasługuje na uwzględnienie</w:t>
      </w:r>
      <w:r w:rsidRPr="00487495">
        <w:rPr>
          <w:rFonts w:ascii="Times New Roman" w:hAnsi="Times New Roman" w:cs="Times New Roman"/>
          <w:sz w:val="24"/>
          <w:szCs w:val="24"/>
        </w:rPr>
        <w:t>. Zaproponowane w projekcie ustawy brzmienie art. 2 pkt 4 lit. b</w:t>
      </w:r>
      <w:r w:rsidRPr="00487495">
        <w:rPr>
          <w:rFonts w:ascii="Times New Roman" w:hAnsi="Times New Roman" w:cs="Times New Roman"/>
          <w:b/>
          <w:sz w:val="24"/>
          <w:szCs w:val="24"/>
        </w:rPr>
        <w:t xml:space="preserve"> </w:t>
      </w:r>
      <w:r w:rsidRPr="00487495">
        <w:rPr>
          <w:rFonts w:ascii="Times New Roman" w:hAnsi="Times New Roman" w:cs="Times New Roman"/>
          <w:sz w:val="24"/>
          <w:szCs w:val="24"/>
        </w:rPr>
        <w:t>stanowi pełne dostosowanie polskiego prawa do orzecznictwa Trybunału Sprawiedliwości Unii Europejskiej w sprawie powracających – wyrok w sprawie C-456/12 O i B. W opisanym wyżej wyroku jedno z pytań prejudycjalnych dotyczyło okresu przez jaki musi zamieszkiwać obywatel UE w innym państwie członkowskim, aby można było go uznać z osobę powracająca do państwa powchodzenia po skorzystaniu ze swobody przepływu osób. Odpowiadając na ww. pytanie Trybunał wyraźnie wskazał, iż pobyt obywatela UE w innym państwie członkowskim musi charakteryzować się wystarczającą efektywnością, pozwalającą na rozwinięcie lub umocnienie życia rodzinnego w tym państwie członkowskim. Dodatkowo w orzeczeniu w sprawie C-456/12 O i B Trybunał (pkt 56) wyraźnie wskazuje, iż o efektywnym pobycie w innym państwie członkowskim możemy mówić w przypadku pobytu na podstawie art. 7 ust. 1 i 2 oraz art. 16 dyrektywy 2004/38.</w:t>
      </w:r>
    </w:p>
    <w:p w14:paraId="38FE9114" w14:textId="59586FCC"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2. odnośnie nowego brzmienia art. 2a ust. 1 ustawy o wjeździe na terytorium Rzeczypospolitej Polskiej – </w:t>
      </w:r>
      <w:r w:rsidRPr="00487495">
        <w:rPr>
          <w:rFonts w:ascii="Times New Roman" w:hAnsi="Times New Roman" w:cs="Times New Roman"/>
          <w:sz w:val="24"/>
          <w:szCs w:val="24"/>
        </w:rPr>
        <w:t xml:space="preserve">należy podkreślić, iż do obywateli UE oraz członków ich rodzin nie mają zastosowania przepisy dyrektywy Parlamentu Europejskiego i Rady 2008/115/WE z dnia 16 grudnia 2008 r. w sprawie wspólnych norm i procedur stosowanych przez państwa członkowskie w odniesieniu do powrotów nielegalnie przebywających obywateli państw trzecich (Dz. Urz. UE L 348 z 24.12.2008, str. 98). Zgodnie z art. 2 ust. 3 ww. dyrektywy nie ma ona zastosowania do osób korzystających ze wspólnotowego prawa do swobodnego przemieszczania się, określonych w art. 2 ust. 5 kodeksu granicznego </w:t>
      </w:r>
      <w:proofErr w:type="spellStart"/>
      <w:r w:rsidRPr="00487495">
        <w:rPr>
          <w:rFonts w:ascii="Times New Roman" w:hAnsi="Times New Roman" w:cs="Times New Roman"/>
          <w:sz w:val="24"/>
          <w:szCs w:val="24"/>
        </w:rPr>
        <w:t>Schengen</w:t>
      </w:r>
      <w:proofErr w:type="spellEnd"/>
      <w:r w:rsidRPr="00487495">
        <w:rPr>
          <w:rFonts w:ascii="Times New Roman" w:hAnsi="Times New Roman" w:cs="Times New Roman"/>
          <w:sz w:val="24"/>
          <w:szCs w:val="24"/>
        </w:rPr>
        <w:t xml:space="preserve">. Dodatkowo </w:t>
      </w:r>
      <w:r w:rsidRPr="00487495">
        <w:rPr>
          <w:rFonts w:ascii="Times New Roman" w:hAnsi="Times New Roman" w:cs="Times New Roman"/>
          <w:sz w:val="24"/>
          <w:szCs w:val="24"/>
        </w:rPr>
        <w:lastRenderedPageBreak/>
        <w:t xml:space="preserve">należy podkreślić, iż zakres przesłanek wydalenia obywatela UE oraz członków jego rodziny jest węższy niż w przypadku obywateli państw trzecich, a samych przypadków orzekania </w:t>
      </w:r>
      <w:r w:rsidR="00C812A3">
        <w:rPr>
          <w:rFonts w:ascii="Times New Roman" w:hAnsi="Times New Roman" w:cs="Times New Roman"/>
          <w:sz w:val="24"/>
          <w:szCs w:val="24"/>
        </w:rPr>
        <w:br/>
      </w:r>
      <w:r w:rsidRPr="00487495">
        <w:rPr>
          <w:rFonts w:ascii="Times New Roman" w:hAnsi="Times New Roman" w:cs="Times New Roman"/>
          <w:sz w:val="24"/>
          <w:szCs w:val="24"/>
        </w:rPr>
        <w:t xml:space="preserve">o wydaleniu obywateli UE oraz członków ich rodzin jest tylko kilka rocznie. </w:t>
      </w:r>
    </w:p>
    <w:p w14:paraId="19107673" w14:textId="592456EE"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 xml:space="preserve">Ad. 3. odnośnie uwagi do  art. 10  ustawy o wjeździe na terytorium Rzeczypospolitej Polskiej – </w:t>
      </w:r>
      <w:r w:rsidRPr="00487495">
        <w:rPr>
          <w:rFonts w:ascii="Times New Roman" w:hAnsi="Times New Roman" w:cs="Times New Roman"/>
          <w:sz w:val="24"/>
          <w:szCs w:val="24"/>
        </w:rPr>
        <w:t xml:space="preserve">projekt ustawy dokonuje zmian w przepisach ustawy o cudzoziemcach w zakresie członków rodziny rozszerzonej, o których mowa w art. 3 ust. 2 dyrektywy 2004/38/WE. Obecnie obowiązujące przepisy prawa zapewniają jedynie wdrożenie do polskiego porządku prawnego postanowień art. 3 ust. 2 dyrektywy 2004/38/WE w zakresie umożliwienia pobytu członkom rodziny rozszerzonej obywateli UE, brak jest natomiast uregulowań prawnych przewidujących specjalne traktowanie opisanej wyżej grupy cudzoziemców w zakresie ułatwiania im dołączenia do obywatela UE oraz wjazdu na terytorium Rzeczypospolitej Polskiej, rozumianego jako skorzystanie z uprawnienia do wjazdu na terytorium Rzeczypospolitej Polskiej. Zaproponowano zatem w ustawie o cudzoziemcach zmianę polegającą na wprowadzeniu rozwiązań prawnych wzorowanych na regulacjach dotyczących łączenia rodzin i umożliwienie złożenia wniosku o udzielenie zezwolenia na pobyt czasowy członkom rodziny rozszerzonej obywateli UE przebywającym poza granicami Polski. Wniosek w przedmiotowej sprawie będzie składać obywatel UE, obywatel Polski lub obywatel Zjednoczonego Królestwa przebywający na terytorium Rzeczypospolitej Polskiej w imieniu swojego członka rodziny, jeżeli ten przebywałby poza tym terytorium. Wskazane wyżej osoby będą jednocześnie obligatoryjnym pełnomocnikiem członka rodziny w przedmiotowym postępowaniu prowadzonym przed wojewodą oraz ewentualnie Szefem Urzędu do Spraw Cudzoziemców, przy jednoczesnym zachowaniu ogólnej konstrukcji jednej strony postępowania, którą byłby cudzoziemiec, w imieniu którego wniosek jest składany. </w:t>
      </w:r>
    </w:p>
    <w:p w14:paraId="279CC683" w14:textId="77777777"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4. odnośnie uwag do art. 33 ust. 1b ustawy o wjeździe na terytorium Rzeczypospolitej Polskiej – </w:t>
      </w:r>
      <w:r w:rsidRPr="00487495">
        <w:rPr>
          <w:rFonts w:ascii="Times New Roman" w:hAnsi="Times New Roman" w:cs="Times New Roman"/>
          <w:sz w:val="24"/>
          <w:szCs w:val="24"/>
        </w:rPr>
        <w:t xml:space="preserve">w ocenie projektodawcy </w:t>
      </w:r>
      <w:r w:rsidRPr="00C812A3">
        <w:rPr>
          <w:rFonts w:ascii="Times New Roman" w:hAnsi="Times New Roman" w:cs="Times New Roman"/>
          <w:sz w:val="24"/>
          <w:szCs w:val="24"/>
        </w:rPr>
        <w:t>nie zasługują one na uwzględnienie.</w:t>
      </w:r>
      <w:r w:rsidRPr="00487495">
        <w:rPr>
          <w:rFonts w:ascii="Times New Roman" w:hAnsi="Times New Roman" w:cs="Times New Roman"/>
          <w:sz w:val="24"/>
          <w:szCs w:val="24"/>
        </w:rPr>
        <w:t xml:space="preserve"> Należy podkreślić, iż wskazane w projekcie ustawy terminy na złożenie wniosku o wydanie nowego zaświadczenia o zarejestrowaniu pobytu obywatela UE oraz nowej karty pobytowej maja charakter instrukcyjny. Należy podkreślić, iż w przypadku obywateli UE oraz członków ich rodzin prawo ich pobytu wynika nie z faktu posiadania dokumentu, ale z faktu spełniania przesłanek tego prawa pobytu w Polsce. W wyroku C-325/09 w sprawie Dias (pkt 48 oraz pkt 54 i 55) Trybunał Sprawiedliwości Unii Europejskiej wskazał, że dokumenty potwierdzające prawo pobytu obywatela UE mają jedynie charakter deklaratoryjny i potwierdzają już istniejące prawo pobytu. </w:t>
      </w:r>
    </w:p>
    <w:p w14:paraId="447853ED" w14:textId="276C9C69" w:rsidR="00CC3D65" w:rsidRPr="00487495" w:rsidRDefault="005474AF" w:rsidP="00487495">
      <w:pPr>
        <w:spacing w:after="0" w:line="312" w:lineRule="auto"/>
        <w:jc w:val="both"/>
        <w:rPr>
          <w:rFonts w:ascii="Times New Roman" w:hAnsi="Times New Roman" w:cs="Times New Roman"/>
          <w:b/>
          <w:sz w:val="24"/>
          <w:szCs w:val="24"/>
        </w:rPr>
      </w:pPr>
      <w:r>
        <w:rPr>
          <w:rFonts w:ascii="Times New Roman" w:hAnsi="Times New Roman" w:cs="Times New Roman"/>
          <w:b/>
          <w:sz w:val="24"/>
          <w:szCs w:val="24"/>
        </w:rPr>
        <w:t>Ad. 5. uwagi do art. 78b</w:t>
      </w:r>
      <w:r w:rsidR="00CC3D65" w:rsidRPr="00487495">
        <w:rPr>
          <w:rFonts w:ascii="Times New Roman" w:hAnsi="Times New Roman" w:cs="Times New Roman"/>
          <w:b/>
          <w:sz w:val="24"/>
          <w:szCs w:val="24"/>
        </w:rPr>
        <w:t xml:space="preserve"> ustawy o wjeździe na terytorium Rzeczypospolitej Polskiej – </w:t>
      </w:r>
      <w:r w:rsidR="00F61A14">
        <w:rPr>
          <w:rFonts w:ascii="Times New Roman" w:hAnsi="Times New Roman" w:cs="Times New Roman"/>
          <w:b/>
          <w:sz w:val="24"/>
          <w:szCs w:val="24"/>
        </w:rPr>
        <w:br/>
      </w:r>
      <w:r w:rsidR="00CC3D65" w:rsidRPr="00487495">
        <w:rPr>
          <w:rFonts w:ascii="Times New Roman" w:hAnsi="Times New Roman" w:cs="Times New Roman"/>
          <w:sz w:val="24"/>
          <w:szCs w:val="24"/>
        </w:rPr>
        <w:t xml:space="preserve">w ocenie projektodawcy </w:t>
      </w:r>
      <w:r w:rsidR="00CC3D65" w:rsidRPr="00563E57">
        <w:rPr>
          <w:rFonts w:ascii="Times New Roman" w:hAnsi="Times New Roman" w:cs="Times New Roman"/>
          <w:sz w:val="24"/>
          <w:szCs w:val="24"/>
        </w:rPr>
        <w:t>nie zasługują na uwzględnienie</w:t>
      </w:r>
      <w:r w:rsidR="00CC3D65" w:rsidRPr="00487495">
        <w:rPr>
          <w:rFonts w:ascii="Times New Roman" w:hAnsi="Times New Roman" w:cs="Times New Roman"/>
          <w:sz w:val="24"/>
          <w:szCs w:val="24"/>
        </w:rPr>
        <w:t>.</w:t>
      </w:r>
      <w:r w:rsidR="00CC3D65" w:rsidRPr="00487495">
        <w:rPr>
          <w:rFonts w:ascii="Times New Roman" w:hAnsi="Times New Roman" w:cs="Times New Roman"/>
          <w:b/>
          <w:sz w:val="24"/>
          <w:szCs w:val="24"/>
        </w:rPr>
        <w:t xml:space="preserve"> </w:t>
      </w:r>
      <w:r w:rsidR="00CC3D65" w:rsidRPr="00487495">
        <w:rPr>
          <w:rFonts w:ascii="Times New Roman" w:hAnsi="Times New Roman" w:cs="Times New Roman"/>
          <w:sz w:val="24"/>
          <w:szCs w:val="24"/>
        </w:rPr>
        <w:t xml:space="preserve">Należy podkreślić, iż w obecnie obowiązujących przepisach prawa funkcjonują analogiczne rozwiązania dotyczące detencji obywateli UE oraz członków ich rodzin. Obecnie ustawa o wjeździe obywateli UE odsyła do rozwiązań ustawy o cudzoziemcach, natomiast projekt przewiduje uregulowanie kwestii detencji w przepisach ustawy o wjeździe obywateli UE. Należy również podkreślić, iż </w:t>
      </w:r>
      <w:r w:rsidR="00CC3D65" w:rsidRPr="00487495">
        <w:rPr>
          <w:rFonts w:ascii="Times New Roman" w:hAnsi="Times New Roman" w:cs="Times New Roman"/>
          <w:sz w:val="24"/>
          <w:szCs w:val="24"/>
        </w:rPr>
        <w:lastRenderedPageBreak/>
        <w:t xml:space="preserve">wydalenie obywatela UE oraz członka jego rodziny ma miejsce niezwykle rzadko i najczęściej wynika z zagrożenia dla obronności lub bezpieczeństwa państwa lub ochrony bezpieczeństwa i porządku publicznego.  </w:t>
      </w:r>
    </w:p>
    <w:p w14:paraId="573877C0" w14:textId="08469093"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Ad. 6. uwaga do art. 78e</w:t>
      </w:r>
      <w:r w:rsidR="005474AF">
        <w:rPr>
          <w:rFonts w:ascii="Times New Roman" w:hAnsi="Times New Roman" w:cs="Times New Roman"/>
          <w:b/>
          <w:sz w:val="24"/>
          <w:szCs w:val="24"/>
        </w:rPr>
        <w:t xml:space="preserve"> ust.  4</w:t>
      </w:r>
      <w:r w:rsidRPr="00487495">
        <w:rPr>
          <w:rFonts w:ascii="Times New Roman" w:hAnsi="Times New Roman" w:cs="Times New Roman"/>
          <w:b/>
          <w:sz w:val="24"/>
          <w:szCs w:val="24"/>
        </w:rPr>
        <w:t xml:space="preserve"> ustawy o wjeździe na terytorium Rzeczypospolitej Polskiej – </w:t>
      </w:r>
      <w:r w:rsidRPr="00487495">
        <w:rPr>
          <w:rFonts w:ascii="Times New Roman" w:hAnsi="Times New Roman" w:cs="Times New Roman"/>
          <w:sz w:val="24"/>
          <w:szCs w:val="24"/>
        </w:rPr>
        <w:t xml:space="preserve">w ocenie projektodawcy </w:t>
      </w:r>
      <w:r w:rsidRPr="00C812A3">
        <w:rPr>
          <w:rFonts w:ascii="Times New Roman" w:hAnsi="Times New Roman" w:cs="Times New Roman"/>
          <w:sz w:val="24"/>
          <w:szCs w:val="24"/>
        </w:rPr>
        <w:t>nie zasługuje na uwzględnienie</w:t>
      </w:r>
      <w:r w:rsidRPr="00487495">
        <w:rPr>
          <w:rFonts w:ascii="Times New Roman" w:hAnsi="Times New Roman" w:cs="Times New Roman"/>
          <w:sz w:val="24"/>
          <w:szCs w:val="24"/>
        </w:rPr>
        <w:t>.</w:t>
      </w:r>
      <w:r w:rsidRPr="00487495">
        <w:rPr>
          <w:rFonts w:ascii="Times New Roman" w:hAnsi="Times New Roman" w:cs="Times New Roman"/>
          <w:b/>
          <w:sz w:val="24"/>
          <w:szCs w:val="24"/>
        </w:rPr>
        <w:t xml:space="preserve"> </w:t>
      </w:r>
      <w:r w:rsidR="00F61A14">
        <w:rPr>
          <w:rFonts w:ascii="Times New Roman" w:hAnsi="Times New Roman" w:cs="Times New Roman"/>
          <w:sz w:val="24"/>
          <w:szCs w:val="24"/>
        </w:rPr>
        <w:t>W</w:t>
      </w:r>
      <w:r w:rsidRPr="00487495">
        <w:rPr>
          <w:rFonts w:ascii="Times New Roman" w:hAnsi="Times New Roman" w:cs="Times New Roman"/>
          <w:sz w:val="24"/>
          <w:szCs w:val="24"/>
        </w:rPr>
        <w:t xml:space="preserve"> obecnie obowiązujących przepisach prawa funkcjonują analogiczne rozwiązania dotyczące detencji obywateli UE oraz członków ich rodzin.</w:t>
      </w:r>
    </w:p>
    <w:p w14:paraId="2C56D39F" w14:textId="116C6DFB" w:rsidR="00CC3D65" w:rsidRPr="00487495" w:rsidRDefault="00CC3D65"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 xml:space="preserve">Ad. 7. </w:t>
      </w:r>
      <w:r w:rsidR="00487495">
        <w:rPr>
          <w:rFonts w:ascii="Times New Roman" w:hAnsi="Times New Roman" w:cs="Times New Roman"/>
          <w:b/>
          <w:sz w:val="24"/>
          <w:szCs w:val="24"/>
        </w:rPr>
        <w:t xml:space="preserve">uwagi do </w:t>
      </w:r>
      <w:r w:rsidRPr="00487495">
        <w:rPr>
          <w:rFonts w:ascii="Times New Roman" w:hAnsi="Times New Roman" w:cs="Times New Roman"/>
          <w:b/>
          <w:sz w:val="24"/>
          <w:szCs w:val="24"/>
        </w:rPr>
        <w:t xml:space="preserve">art. 73d ustawy o wjeździe na terytorium Rzeczypospolitej Polskiej – </w:t>
      </w:r>
      <w:r w:rsidRPr="00487495">
        <w:rPr>
          <w:rFonts w:ascii="Times New Roman" w:hAnsi="Times New Roman" w:cs="Times New Roman"/>
          <w:sz w:val="24"/>
          <w:szCs w:val="24"/>
        </w:rPr>
        <w:t>w ocenie projektodawcy</w:t>
      </w:r>
      <w:r w:rsidRPr="00487495" w:rsidDel="001C146C">
        <w:rPr>
          <w:rFonts w:ascii="Times New Roman" w:hAnsi="Times New Roman" w:cs="Times New Roman"/>
          <w:sz w:val="24"/>
          <w:szCs w:val="24"/>
        </w:rPr>
        <w:t xml:space="preserve"> </w:t>
      </w:r>
      <w:r w:rsidRPr="00C812A3">
        <w:rPr>
          <w:rFonts w:ascii="Times New Roman" w:hAnsi="Times New Roman" w:cs="Times New Roman"/>
          <w:sz w:val="24"/>
          <w:szCs w:val="24"/>
        </w:rPr>
        <w:t>nie zasługują na uwzględnienie</w:t>
      </w:r>
      <w:r w:rsidRPr="00487495">
        <w:rPr>
          <w:rFonts w:ascii="Times New Roman" w:hAnsi="Times New Roman" w:cs="Times New Roman"/>
          <w:sz w:val="24"/>
          <w:szCs w:val="24"/>
        </w:rPr>
        <w:t xml:space="preserve">. </w:t>
      </w:r>
      <w:r w:rsidR="00F61A14">
        <w:rPr>
          <w:rFonts w:ascii="Times New Roman" w:hAnsi="Times New Roman" w:cs="Times New Roman"/>
          <w:sz w:val="24"/>
          <w:szCs w:val="24"/>
        </w:rPr>
        <w:t xml:space="preserve">W </w:t>
      </w:r>
      <w:r w:rsidRPr="00487495">
        <w:rPr>
          <w:rFonts w:ascii="Times New Roman" w:hAnsi="Times New Roman" w:cs="Times New Roman"/>
          <w:sz w:val="24"/>
          <w:szCs w:val="24"/>
        </w:rPr>
        <w:t xml:space="preserve">trakcie kolejnej nowelizacji przepisów ustawy o wjeździe obywateli UE będzie rozważona kwestia przejęcia przez Komendanta Głównego Straży Granicznej prowadzenia postępowań odwoławczych od decyzji orzekających o wydaleniu obywateli UE oraz członków ich rodzin. </w:t>
      </w:r>
    </w:p>
    <w:p w14:paraId="1A01508F" w14:textId="1760C647"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Ad. 8. uwag</w:t>
      </w:r>
      <w:r w:rsidR="00487495">
        <w:rPr>
          <w:rFonts w:ascii="Times New Roman" w:hAnsi="Times New Roman" w:cs="Times New Roman"/>
          <w:b/>
          <w:sz w:val="24"/>
          <w:szCs w:val="24"/>
        </w:rPr>
        <w:t>i</w:t>
      </w:r>
      <w:r w:rsidRPr="00487495">
        <w:rPr>
          <w:rFonts w:ascii="Times New Roman" w:hAnsi="Times New Roman" w:cs="Times New Roman"/>
          <w:b/>
          <w:sz w:val="24"/>
          <w:szCs w:val="24"/>
        </w:rPr>
        <w:t xml:space="preserve"> do art. 78g ust. 1 ustawy o wjeździe na terytorium Rzeczypospolitej Polskiej oraz art. 406 ust. 1 pkt 6 ustawy o cudzoziemcach – </w:t>
      </w:r>
      <w:r w:rsidR="00F61A14">
        <w:rPr>
          <w:rFonts w:ascii="Times New Roman" w:hAnsi="Times New Roman" w:cs="Times New Roman"/>
          <w:sz w:val="24"/>
          <w:szCs w:val="24"/>
        </w:rPr>
        <w:t>należy wskazać</w:t>
      </w:r>
      <w:r w:rsidRPr="00487495">
        <w:rPr>
          <w:rFonts w:ascii="Times New Roman" w:hAnsi="Times New Roman" w:cs="Times New Roman"/>
          <w:sz w:val="24"/>
          <w:szCs w:val="24"/>
        </w:rPr>
        <w:t>, że</w:t>
      </w:r>
      <w:r w:rsidRPr="00487495">
        <w:rPr>
          <w:rFonts w:ascii="Times New Roman" w:hAnsi="Times New Roman" w:cs="Times New Roman"/>
          <w:b/>
          <w:sz w:val="24"/>
          <w:szCs w:val="24"/>
        </w:rPr>
        <w:t xml:space="preserve"> </w:t>
      </w:r>
      <w:r w:rsidRPr="00487495">
        <w:rPr>
          <w:rFonts w:ascii="Times New Roman" w:hAnsi="Times New Roman" w:cs="Times New Roman"/>
          <w:sz w:val="24"/>
          <w:szCs w:val="24"/>
        </w:rPr>
        <w:t>do obywateli UE oraz członków ich rodzin nie mają zastosowania przepisy dyrektywy 2008/115/WE.</w:t>
      </w:r>
    </w:p>
    <w:p w14:paraId="1A6155B2" w14:textId="76A35FF1" w:rsidR="00CC3D65" w:rsidRPr="00487495" w:rsidRDefault="00CC3D65"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b/>
          <w:sz w:val="24"/>
          <w:szCs w:val="24"/>
        </w:rPr>
        <w:t xml:space="preserve">Ad. 9. Uwagi do art. 168a w związku z art. 160 ustawy o cudzoziemcach odsyłających do art. 2 pkt 4 lit. a i b ustawy o wjeździe na terytorium Rzeczypospolitej Polskiej – </w:t>
      </w:r>
      <w:r w:rsidRPr="00487495">
        <w:rPr>
          <w:rFonts w:ascii="Times New Roman" w:hAnsi="Times New Roman" w:cs="Times New Roman"/>
          <w:sz w:val="24"/>
          <w:szCs w:val="24"/>
        </w:rPr>
        <w:t xml:space="preserve">w ocenie projektodawcy zakres podmiotowy opisanych wyżej przepisów jest czytelny, a pojęcia w nim użyte są powszechnie stosowane w orzecznictwie i piśmiennictwie. </w:t>
      </w:r>
    </w:p>
    <w:p w14:paraId="1188640A" w14:textId="63F81731" w:rsidR="00BC31A8" w:rsidRDefault="00BC31A8" w:rsidP="00487495">
      <w:pPr>
        <w:spacing w:after="0" w:line="312" w:lineRule="auto"/>
        <w:jc w:val="both"/>
        <w:rPr>
          <w:rFonts w:ascii="Times New Roman" w:hAnsi="Times New Roman" w:cs="Times New Roman"/>
          <w:b/>
          <w:sz w:val="24"/>
          <w:szCs w:val="24"/>
        </w:rPr>
      </w:pPr>
    </w:p>
    <w:p w14:paraId="3F9E8D17" w14:textId="468B929D" w:rsidR="001F163B" w:rsidRPr="00F61A14" w:rsidRDefault="007F3F0F"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 xml:space="preserve">Stanowisko projektodawcy odnośnie uwag zgłoszonych pismem z dnia </w:t>
      </w:r>
      <w:r>
        <w:rPr>
          <w:rFonts w:ascii="Times New Roman" w:hAnsi="Times New Roman" w:cs="Times New Roman"/>
          <w:b/>
          <w:sz w:val="24"/>
          <w:szCs w:val="24"/>
        </w:rPr>
        <w:t>2</w:t>
      </w:r>
      <w:r w:rsidRPr="00487495">
        <w:rPr>
          <w:rFonts w:ascii="Times New Roman" w:hAnsi="Times New Roman" w:cs="Times New Roman"/>
          <w:b/>
          <w:sz w:val="24"/>
          <w:szCs w:val="24"/>
        </w:rPr>
        <w:t xml:space="preserve">1 </w:t>
      </w:r>
      <w:r>
        <w:rPr>
          <w:rFonts w:ascii="Times New Roman" w:hAnsi="Times New Roman" w:cs="Times New Roman"/>
          <w:b/>
          <w:sz w:val="24"/>
          <w:szCs w:val="24"/>
        </w:rPr>
        <w:t xml:space="preserve">września </w:t>
      </w:r>
      <w:r w:rsidR="00F61A14">
        <w:rPr>
          <w:rFonts w:ascii="Times New Roman" w:hAnsi="Times New Roman" w:cs="Times New Roman"/>
          <w:b/>
          <w:sz w:val="24"/>
          <w:szCs w:val="24"/>
        </w:rPr>
        <w:br/>
      </w:r>
      <w:r w:rsidRPr="00487495">
        <w:rPr>
          <w:rFonts w:ascii="Times New Roman" w:hAnsi="Times New Roman" w:cs="Times New Roman"/>
          <w:b/>
          <w:sz w:val="24"/>
          <w:szCs w:val="24"/>
        </w:rPr>
        <w:t xml:space="preserve">2020 r. przez </w:t>
      </w:r>
      <w:r w:rsidRPr="007F3F0F">
        <w:rPr>
          <w:rFonts w:ascii="Times New Roman" w:hAnsi="Times New Roman" w:cs="Times New Roman"/>
          <w:b/>
          <w:sz w:val="24"/>
          <w:szCs w:val="24"/>
        </w:rPr>
        <w:t>Helsińsk</w:t>
      </w:r>
      <w:r>
        <w:rPr>
          <w:rFonts w:ascii="Times New Roman" w:hAnsi="Times New Roman" w:cs="Times New Roman"/>
          <w:b/>
          <w:sz w:val="24"/>
          <w:szCs w:val="24"/>
        </w:rPr>
        <w:t>ą</w:t>
      </w:r>
      <w:r w:rsidRPr="007F3F0F">
        <w:rPr>
          <w:rFonts w:ascii="Times New Roman" w:hAnsi="Times New Roman" w:cs="Times New Roman"/>
          <w:b/>
          <w:sz w:val="24"/>
          <w:szCs w:val="24"/>
        </w:rPr>
        <w:t xml:space="preserve"> Fundacj</w:t>
      </w:r>
      <w:r>
        <w:rPr>
          <w:rFonts w:ascii="Times New Roman" w:hAnsi="Times New Roman" w:cs="Times New Roman"/>
          <w:b/>
          <w:sz w:val="24"/>
          <w:szCs w:val="24"/>
        </w:rPr>
        <w:t>ę</w:t>
      </w:r>
      <w:r w:rsidRPr="007F3F0F">
        <w:rPr>
          <w:rFonts w:ascii="Times New Roman" w:hAnsi="Times New Roman" w:cs="Times New Roman"/>
          <w:b/>
          <w:sz w:val="24"/>
          <w:szCs w:val="24"/>
        </w:rPr>
        <w:t xml:space="preserve"> Praw Człowieka</w:t>
      </w:r>
      <w:r>
        <w:rPr>
          <w:rFonts w:ascii="Times New Roman" w:hAnsi="Times New Roman" w:cs="Times New Roman"/>
          <w:b/>
          <w:sz w:val="24"/>
          <w:szCs w:val="24"/>
        </w:rPr>
        <w:t xml:space="preserve"> </w:t>
      </w:r>
      <w:r w:rsidR="00F61A14">
        <w:rPr>
          <w:rFonts w:ascii="Times New Roman" w:hAnsi="Times New Roman" w:cs="Times New Roman"/>
          <w:b/>
          <w:sz w:val="24"/>
          <w:szCs w:val="24"/>
        </w:rPr>
        <w:t>–</w:t>
      </w:r>
      <w:r>
        <w:rPr>
          <w:rFonts w:ascii="Times New Roman" w:hAnsi="Times New Roman" w:cs="Times New Roman"/>
          <w:b/>
          <w:sz w:val="24"/>
          <w:szCs w:val="24"/>
        </w:rPr>
        <w:t xml:space="preserve"> </w:t>
      </w:r>
      <w:r w:rsidRPr="00D27D75">
        <w:rPr>
          <w:rFonts w:ascii="Times New Roman" w:hAnsi="Times New Roman" w:cs="Times New Roman"/>
          <w:sz w:val="24"/>
          <w:szCs w:val="24"/>
        </w:rPr>
        <w:t>z</w:t>
      </w:r>
      <w:r w:rsidR="001F163B" w:rsidRPr="00D27D75">
        <w:rPr>
          <w:rFonts w:ascii="Times New Roman" w:hAnsi="Times New Roman" w:cs="Times New Roman"/>
          <w:sz w:val="24"/>
          <w:szCs w:val="24"/>
        </w:rPr>
        <w:t xml:space="preserve"> uwagi na to, że stanowisko Fundacji wpłynęło znacząco po upływie terminu zakończen</w:t>
      </w:r>
      <w:r w:rsidR="00F61A14">
        <w:rPr>
          <w:rFonts w:ascii="Times New Roman" w:hAnsi="Times New Roman" w:cs="Times New Roman"/>
          <w:sz w:val="24"/>
          <w:szCs w:val="24"/>
        </w:rPr>
        <w:t>ia konsultacji</w:t>
      </w:r>
      <w:r w:rsidR="001F163B" w:rsidRPr="00D27D75">
        <w:rPr>
          <w:rFonts w:ascii="Times New Roman" w:hAnsi="Times New Roman" w:cs="Times New Roman"/>
          <w:sz w:val="24"/>
          <w:szCs w:val="24"/>
        </w:rPr>
        <w:t xml:space="preserve">, stanowisko w tej sprawie projektodawca przekaże w terminie późniejszym. </w:t>
      </w:r>
    </w:p>
    <w:p w14:paraId="01019E2D" w14:textId="77777777" w:rsidR="001F163B" w:rsidRPr="00487495" w:rsidRDefault="001F163B" w:rsidP="00487495">
      <w:pPr>
        <w:spacing w:after="0" w:line="312" w:lineRule="auto"/>
        <w:jc w:val="both"/>
        <w:rPr>
          <w:rFonts w:ascii="Times New Roman" w:hAnsi="Times New Roman" w:cs="Times New Roman"/>
          <w:b/>
          <w:sz w:val="24"/>
          <w:szCs w:val="24"/>
        </w:rPr>
      </w:pPr>
    </w:p>
    <w:p w14:paraId="1D5C9628" w14:textId="77777777" w:rsidR="00DE5EC4" w:rsidRPr="00487495" w:rsidRDefault="00DE5EC4"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4. Przedstawienie wyników zasięgnięcia opinii, dokonania konsultacji albo uzgodnienia projektu z właściwymi organami i instytucjami Unii Europejskiej, w tym Europejskim Bankiem Centralnym</w:t>
      </w:r>
    </w:p>
    <w:p w14:paraId="0C6E0EFA" w14:textId="77777777" w:rsidR="00630F0D" w:rsidRPr="00487495" w:rsidRDefault="00630F0D" w:rsidP="00487495">
      <w:pPr>
        <w:autoSpaceDE w:val="0"/>
        <w:autoSpaceDN w:val="0"/>
        <w:adjustRightInd w:val="0"/>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Projekt ustawy nie wymaga przedłożenia go właściwym instytucjom i orga</w:t>
      </w:r>
      <w:r w:rsidRPr="00487495">
        <w:rPr>
          <w:rFonts w:ascii="Times New Roman" w:hAnsi="Times New Roman" w:cs="Times New Roman"/>
          <w:sz w:val="24"/>
          <w:szCs w:val="24"/>
        </w:rPr>
        <w:softHyphen/>
        <w:t>nom Unii Europejskiej lub Europejskiemu Bankowi Centralnemu w celu uzyskania opinii, dokonania konsultacji lub uzgodnienia.</w:t>
      </w:r>
    </w:p>
    <w:p w14:paraId="75413BDF" w14:textId="77777777" w:rsidR="00630F0D" w:rsidRPr="00487495" w:rsidRDefault="00630F0D" w:rsidP="00487495">
      <w:pPr>
        <w:spacing w:after="0" w:line="312" w:lineRule="auto"/>
        <w:jc w:val="both"/>
        <w:rPr>
          <w:rFonts w:ascii="Times New Roman" w:hAnsi="Times New Roman" w:cs="Times New Roman"/>
          <w:b/>
          <w:sz w:val="24"/>
          <w:szCs w:val="24"/>
        </w:rPr>
      </w:pPr>
    </w:p>
    <w:p w14:paraId="62A2DCE9" w14:textId="77777777" w:rsidR="00DE5EC4" w:rsidRPr="00487495" w:rsidRDefault="00DE5EC4" w:rsidP="00487495">
      <w:pPr>
        <w:spacing w:after="0" w:line="312" w:lineRule="auto"/>
        <w:jc w:val="both"/>
        <w:rPr>
          <w:rFonts w:ascii="Times New Roman" w:hAnsi="Times New Roman" w:cs="Times New Roman"/>
          <w:b/>
          <w:sz w:val="24"/>
          <w:szCs w:val="24"/>
        </w:rPr>
      </w:pPr>
      <w:r w:rsidRPr="00487495">
        <w:rPr>
          <w:rFonts w:ascii="Times New Roman" w:hAnsi="Times New Roman" w:cs="Times New Roman"/>
          <w:b/>
          <w:sz w:val="24"/>
          <w:szCs w:val="24"/>
        </w:rPr>
        <w:t xml:space="preserve">5. Wskazanie podmiotów, które zgłosiły zainteresowanie pracami nad projektem w trybie przepisów o działalności lobbingowej w procesie stanowienia prawa, wraz ze wskazaniem kolejności dokonania zgłoszeń albo informację o ich braku </w:t>
      </w:r>
    </w:p>
    <w:p w14:paraId="522D27DD" w14:textId="092095E4" w:rsidR="00CB058A" w:rsidRPr="00487495" w:rsidRDefault="00AD6EA4" w:rsidP="00487495">
      <w:pPr>
        <w:spacing w:after="0" w:line="312" w:lineRule="auto"/>
        <w:jc w:val="both"/>
        <w:rPr>
          <w:rFonts w:ascii="Times New Roman" w:hAnsi="Times New Roman" w:cs="Times New Roman"/>
          <w:sz w:val="24"/>
          <w:szCs w:val="24"/>
        </w:rPr>
      </w:pPr>
      <w:r w:rsidRPr="00487495">
        <w:rPr>
          <w:rFonts w:ascii="Times New Roman" w:hAnsi="Times New Roman" w:cs="Times New Roman"/>
          <w:sz w:val="24"/>
          <w:szCs w:val="24"/>
        </w:rPr>
        <w:t>Nie odnotowano zgłoszeń zainteresowanych podmiotów w trybie przepisów o działalności lobbingowej w procesie stanowienia prawa.</w:t>
      </w:r>
    </w:p>
    <w:sectPr w:rsidR="00CB058A" w:rsidRPr="00487495" w:rsidSect="000C451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4734C" w14:textId="77777777" w:rsidR="00BB7A0D" w:rsidRDefault="00BB7A0D" w:rsidP="00B02421">
      <w:pPr>
        <w:spacing w:after="0" w:line="240" w:lineRule="auto"/>
      </w:pPr>
      <w:r>
        <w:separator/>
      </w:r>
    </w:p>
  </w:endnote>
  <w:endnote w:type="continuationSeparator" w:id="0">
    <w:p w14:paraId="1E8656CE" w14:textId="77777777" w:rsidR="00BB7A0D" w:rsidRDefault="00BB7A0D" w:rsidP="00B0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00000001"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9647248"/>
      <w:docPartObj>
        <w:docPartGallery w:val="Page Numbers (Bottom of Page)"/>
        <w:docPartUnique/>
      </w:docPartObj>
    </w:sdtPr>
    <w:sdtEndPr/>
    <w:sdtContent>
      <w:p w14:paraId="50924352" w14:textId="4C10E058" w:rsidR="00B525B2" w:rsidRPr="0075309C" w:rsidRDefault="00B525B2">
        <w:pPr>
          <w:pStyle w:val="Stopka"/>
          <w:jc w:val="right"/>
          <w:rPr>
            <w:rFonts w:ascii="Times New Roman" w:hAnsi="Times New Roman" w:cs="Times New Roman"/>
            <w:sz w:val="24"/>
            <w:szCs w:val="24"/>
          </w:rPr>
        </w:pPr>
        <w:r w:rsidRPr="0075309C">
          <w:rPr>
            <w:rFonts w:ascii="Times New Roman" w:hAnsi="Times New Roman" w:cs="Times New Roman"/>
            <w:sz w:val="24"/>
            <w:szCs w:val="24"/>
          </w:rPr>
          <w:fldChar w:fldCharType="begin"/>
        </w:r>
        <w:r w:rsidRPr="0075309C">
          <w:rPr>
            <w:rFonts w:ascii="Times New Roman" w:hAnsi="Times New Roman" w:cs="Times New Roman"/>
            <w:sz w:val="24"/>
            <w:szCs w:val="24"/>
          </w:rPr>
          <w:instrText>PAGE   \* MERGEFORMAT</w:instrText>
        </w:r>
        <w:r w:rsidRPr="0075309C">
          <w:rPr>
            <w:rFonts w:ascii="Times New Roman" w:hAnsi="Times New Roman" w:cs="Times New Roman"/>
            <w:sz w:val="24"/>
            <w:szCs w:val="24"/>
          </w:rPr>
          <w:fldChar w:fldCharType="separate"/>
        </w:r>
        <w:r w:rsidR="001A6129">
          <w:rPr>
            <w:rFonts w:ascii="Times New Roman" w:hAnsi="Times New Roman" w:cs="Times New Roman"/>
            <w:noProof/>
            <w:sz w:val="24"/>
            <w:szCs w:val="24"/>
          </w:rPr>
          <w:t>9</w:t>
        </w:r>
        <w:r w:rsidRPr="0075309C">
          <w:rPr>
            <w:rFonts w:ascii="Times New Roman" w:hAnsi="Times New Roman" w:cs="Times New Roman"/>
            <w:sz w:val="24"/>
            <w:szCs w:val="24"/>
          </w:rPr>
          <w:fldChar w:fldCharType="end"/>
        </w:r>
      </w:p>
    </w:sdtContent>
  </w:sdt>
  <w:p w14:paraId="162D79E2" w14:textId="77777777" w:rsidR="00B525B2" w:rsidRDefault="00B525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DB839" w14:textId="77777777" w:rsidR="00BB7A0D" w:rsidRDefault="00BB7A0D" w:rsidP="00B02421">
      <w:pPr>
        <w:spacing w:after="0" w:line="240" w:lineRule="auto"/>
      </w:pPr>
      <w:r>
        <w:separator/>
      </w:r>
    </w:p>
  </w:footnote>
  <w:footnote w:type="continuationSeparator" w:id="0">
    <w:p w14:paraId="526E4FE2" w14:textId="77777777" w:rsidR="00BB7A0D" w:rsidRDefault="00BB7A0D" w:rsidP="00B024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5379"/>
    <w:multiLevelType w:val="hybridMultilevel"/>
    <w:tmpl w:val="A5B22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865CDB"/>
    <w:multiLevelType w:val="hybridMultilevel"/>
    <w:tmpl w:val="22AA5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8699F"/>
    <w:multiLevelType w:val="hybridMultilevel"/>
    <w:tmpl w:val="1C6E2A46"/>
    <w:lvl w:ilvl="0" w:tplc="9B2ECC0A">
      <w:start w:val="1"/>
      <w:numFmt w:val="lowerLetter"/>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04A8D"/>
    <w:multiLevelType w:val="hybridMultilevel"/>
    <w:tmpl w:val="23B2BE2C"/>
    <w:lvl w:ilvl="0" w:tplc="AA0C1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32547F"/>
    <w:multiLevelType w:val="hybridMultilevel"/>
    <w:tmpl w:val="24344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2D6746"/>
    <w:multiLevelType w:val="hybridMultilevel"/>
    <w:tmpl w:val="745C5AF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3180821"/>
    <w:multiLevelType w:val="hybridMultilevel"/>
    <w:tmpl w:val="24F08D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36E736E"/>
    <w:multiLevelType w:val="hybridMultilevel"/>
    <w:tmpl w:val="1F86C2BE"/>
    <w:lvl w:ilvl="0" w:tplc="41387B8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E80B71"/>
    <w:multiLevelType w:val="hybridMultilevel"/>
    <w:tmpl w:val="41AE19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423C1C"/>
    <w:multiLevelType w:val="hybridMultilevel"/>
    <w:tmpl w:val="2CB2FD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C1534"/>
    <w:multiLevelType w:val="hybridMultilevel"/>
    <w:tmpl w:val="41CC80B2"/>
    <w:lvl w:ilvl="0" w:tplc="9B2ECC0A">
      <w:start w:val="1"/>
      <w:numFmt w:val="lowerLetter"/>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654C16"/>
    <w:multiLevelType w:val="hybridMultilevel"/>
    <w:tmpl w:val="4F6E8FBC"/>
    <w:lvl w:ilvl="0" w:tplc="1D7471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EC386E"/>
    <w:multiLevelType w:val="hybridMultilevel"/>
    <w:tmpl w:val="CD747E1C"/>
    <w:lvl w:ilvl="0" w:tplc="ED268B98">
      <w:numFmt w:val="bullet"/>
      <w:lvlText w:val="•"/>
      <w:lvlJc w:val="left"/>
      <w:pPr>
        <w:ind w:left="1070" w:hanging="71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DC3878"/>
    <w:multiLevelType w:val="hybridMultilevel"/>
    <w:tmpl w:val="11F6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4B155F"/>
    <w:multiLevelType w:val="hybridMultilevel"/>
    <w:tmpl w:val="1F1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957C5F"/>
    <w:multiLevelType w:val="hybridMultilevel"/>
    <w:tmpl w:val="C7885094"/>
    <w:lvl w:ilvl="0" w:tplc="A9489D66">
      <w:numFmt w:val="bullet"/>
      <w:lvlText w:val="•"/>
      <w:lvlJc w:val="left"/>
      <w:pPr>
        <w:ind w:left="1070" w:hanging="71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34770C"/>
    <w:multiLevelType w:val="hybridMultilevel"/>
    <w:tmpl w:val="9746EBF4"/>
    <w:lvl w:ilvl="0" w:tplc="AA0C1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C45708"/>
    <w:multiLevelType w:val="hybridMultilevel"/>
    <w:tmpl w:val="A702A244"/>
    <w:lvl w:ilvl="0" w:tplc="41387B8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6F3EAC"/>
    <w:multiLevelType w:val="hybridMultilevel"/>
    <w:tmpl w:val="4D261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2D7AD4"/>
    <w:multiLevelType w:val="hybridMultilevel"/>
    <w:tmpl w:val="083C1FD4"/>
    <w:lvl w:ilvl="0" w:tplc="49EC5C6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27E8C"/>
    <w:multiLevelType w:val="hybridMultilevel"/>
    <w:tmpl w:val="20BAE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DA5BB7"/>
    <w:multiLevelType w:val="hybridMultilevel"/>
    <w:tmpl w:val="3EEEA5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4317D5"/>
    <w:multiLevelType w:val="hybridMultilevel"/>
    <w:tmpl w:val="1E8C2F6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E94F13"/>
    <w:multiLevelType w:val="hybridMultilevel"/>
    <w:tmpl w:val="AEB60C9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C746F5"/>
    <w:multiLevelType w:val="hybridMultilevel"/>
    <w:tmpl w:val="3EF6F470"/>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BB626B1"/>
    <w:multiLevelType w:val="hybridMultilevel"/>
    <w:tmpl w:val="24344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BE4EB0"/>
    <w:multiLevelType w:val="hybridMultilevel"/>
    <w:tmpl w:val="7CAA0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56745"/>
    <w:multiLevelType w:val="hybridMultilevel"/>
    <w:tmpl w:val="1E44834C"/>
    <w:lvl w:ilvl="0" w:tplc="AA0C1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DB836FD"/>
    <w:multiLevelType w:val="hybridMultilevel"/>
    <w:tmpl w:val="3FCE2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294571"/>
    <w:multiLevelType w:val="hybridMultilevel"/>
    <w:tmpl w:val="620E1C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06E2033"/>
    <w:multiLevelType w:val="hybridMultilevel"/>
    <w:tmpl w:val="00DA1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54637D"/>
    <w:multiLevelType w:val="hybridMultilevel"/>
    <w:tmpl w:val="188AC5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B01A9F"/>
    <w:multiLevelType w:val="hybridMultilevel"/>
    <w:tmpl w:val="149269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6A7CEF"/>
    <w:multiLevelType w:val="hybridMultilevel"/>
    <w:tmpl w:val="4FE8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9110301"/>
    <w:multiLevelType w:val="hybridMultilevel"/>
    <w:tmpl w:val="ED50D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1A6323"/>
    <w:multiLevelType w:val="hybridMultilevel"/>
    <w:tmpl w:val="F9C495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CE6742"/>
    <w:multiLevelType w:val="hybridMultilevel"/>
    <w:tmpl w:val="233AE9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F722F4"/>
    <w:multiLevelType w:val="hybridMultilevel"/>
    <w:tmpl w:val="F5068604"/>
    <w:lvl w:ilvl="0" w:tplc="DE363F4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1C22DD"/>
    <w:multiLevelType w:val="hybridMultilevel"/>
    <w:tmpl w:val="4EA81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8"/>
  </w:num>
  <w:num w:numId="3">
    <w:abstractNumId w:val="9"/>
  </w:num>
  <w:num w:numId="4">
    <w:abstractNumId w:val="19"/>
  </w:num>
  <w:num w:numId="5">
    <w:abstractNumId w:val="1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8"/>
  </w:num>
  <w:num w:numId="9">
    <w:abstractNumId w:val="37"/>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
  </w:num>
  <w:num w:numId="14">
    <w:abstractNumId w:val="4"/>
  </w:num>
  <w:num w:numId="15">
    <w:abstractNumId w:val="18"/>
  </w:num>
  <w:num w:numId="16">
    <w:abstractNumId w:val="15"/>
  </w:num>
  <w:num w:numId="17">
    <w:abstractNumId w:val="32"/>
  </w:num>
  <w:num w:numId="18">
    <w:abstractNumId w:val="12"/>
  </w:num>
  <w:num w:numId="19">
    <w:abstractNumId w:val="20"/>
  </w:num>
  <w:num w:numId="20">
    <w:abstractNumId w:val="33"/>
  </w:num>
  <w:num w:numId="21">
    <w:abstractNumId w:val="34"/>
  </w:num>
  <w:num w:numId="22">
    <w:abstractNumId w:val="26"/>
  </w:num>
  <w:num w:numId="23">
    <w:abstractNumId w:val="14"/>
  </w:num>
  <w:num w:numId="24">
    <w:abstractNumId w:val="22"/>
  </w:num>
  <w:num w:numId="25">
    <w:abstractNumId w:val="23"/>
  </w:num>
  <w:num w:numId="26">
    <w:abstractNumId w:val="27"/>
  </w:num>
  <w:num w:numId="27">
    <w:abstractNumId w:val="3"/>
  </w:num>
  <w:num w:numId="28">
    <w:abstractNumId w:val="35"/>
  </w:num>
  <w:num w:numId="29">
    <w:abstractNumId w:val="13"/>
  </w:num>
  <w:num w:numId="30">
    <w:abstractNumId w:val="30"/>
  </w:num>
  <w:num w:numId="31">
    <w:abstractNumId w:val="17"/>
  </w:num>
  <w:num w:numId="32">
    <w:abstractNumId w:val="7"/>
  </w:num>
  <w:num w:numId="33">
    <w:abstractNumId w:val="2"/>
  </w:num>
  <w:num w:numId="34">
    <w:abstractNumId w:val="10"/>
  </w:num>
  <w:num w:numId="35">
    <w:abstractNumId w:val="16"/>
  </w:num>
  <w:num w:numId="36">
    <w:abstractNumId w:val="8"/>
  </w:num>
  <w:num w:numId="37">
    <w:abstractNumId w:val="36"/>
  </w:num>
  <w:num w:numId="38">
    <w:abstractNumId w:val="29"/>
  </w:num>
  <w:num w:numId="39">
    <w:abstractNumId w:val="2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126"/>
    <w:rsid w:val="00000438"/>
    <w:rsid w:val="00002234"/>
    <w:rsid w:val="00004D83"/>
    <w:rsid w:val="00011C9A"/>
    <w:rsid w:val="00017487"/>
    <w:rsid w:val="00024E12"/>
    <w:rsid w:val="00024EFD"/>
    <w:rsid w:val="00034CE5"/>
    <w:rsid w:val="000363B9"/>
    <w:rsid w:val="00041ADE"/>
    <w:rsid w:val="00041B48"/>
    <w:rsid w:val="00042055"/>
    <w:rsid w:val="000476F6"/>
    <w:rsid w:val="00047CED"/>
    <w:rsid w:val="000517D5"/>
    <w:rsid w:val="000620D9"/>
    <w:rsid w:val="00064057"/>
    <w:rsid w:val="0006518B"/>
    <w:rsid w:val="00066EEC"/>
    <w:rsid w:val="00070E75"/>
    <w:rsid w:val="00080117"/>
    <w:rsid w:val="0008418A"/>
    <w:rsid w:val="00094255"/>
    <w:rsid w:val="0009734E"/>
    <w:rsid w:val="000A2C7A"/>
    <w:rsid w:val="000A4E8D"/>
    <w:rsid w:val="000A7801"/>
    <w:rsid w:val="000B025A"/>
    <w:rsid w:val="000B23E3"/>
    <w:rsid w:val="000C08F2"/>
    <w:rsid w:val="000C1AD2"/>
    <w:rsid w:val="000C451D"/>
    <w:rsid w:val="000D529E"/>
    <w:rsid w:val="000E2465"/>
    <w:rsid w:val="000E4492"/>
    <w:rsid w:val="000F069A"/>
    <w:rsid w:val="000F0A8D"/>
    <w:rsid w:val="00101B36"/>
    <w:rsid w:val="00102697"/>
    <w:rsid w:val="00102A28"/>
    <w:rsid w:val="00104945"/>
    <w:rsid w:val="00141C33"/>
    <w:rsid w:val="00145DEE"/>
    <w:rsid w:val="00145FA4"/>
    <w:rsid w:val="00147EB1"/>
    <w:rsid w:val="00151667"/>
    <w:rsid w:val="0015322D"/>
    <w:rsid w:val="00155212"/>
    <w:rsid w:val="00160C24"/>
    <w:rsid w:val="0016218B"/>
    <w:rsid w:val="00163144"/>
    <w:rsid w:val="00163490"/>
    <w:rsid w:val="001669E1"/>
    <w:rsid w:val="00171F6F"/>
    <w:rsid w:val="001723E4"/>
    <w:rsid w:val="0017339B"/>
    <w:rsid w:val="00173EAB"/>
    <w:rsid w:val="0017629E"/>
    <w:rsid w:val="00182D55"/>
    <w:rsid w:val="00191EA1"/>
    <w:rsid w:val="001A0593"/>
    <w:rsid w:val="001A431A"/>
    <w:rsid w:val="001A6129"/>
    <w:rsid w:val="001B66F3"/>
    <w:rsid w:val="001B7754"/>
    <w:rsid w:val="001C5048"/>
    <w:rsid w:val="001C6591"/>
    <w:rsid w:val="001E2031"/>
    <w:rsid w:val="001E2089"/>
    <w:rsid w:val="001E2D7F"/>
    <w:rsid w:val="001E4A97"/>
    <w:rsid w:val="001E704B"/>
    <w:rsid w:val="001F163B"/>
    <w:rsid w:val="002136DE"/>
    <w:rsid w:val="00220CB8"/>
    <w:rsid w:val="002227A9"/>
    <w:rsid w:val="00224A7A"/>
    <w:rsid w:val="00227EA8"/>
    <w:rsid w:val="00242240"/>
    <w:rsid w:val="002431C5"/>
    <w:rsid w:val="00256F88"/>
    <w:rsid w:val="00270D08"/>
    <w:rsid w:val="00271688"/>
    <w:rsid w:val="00274CDA"/>
    <w:rsid w:val="00274F81"/>
    <w:rsid w:val="002821BE"/>
    <w:rsid w:val="0028449F"/>
    <w:rsid w:val="00290682"/>
    <w:rsid w:val="002A0D65"/>
    <w:rsid w:val="002A3027"/>
    <w:rsid w:val="002A6B5B"/>
    <w:rsid w:val="002B2C0F"/>
    <w:rsid w:val="002B74BA"/>
    <w:rsid w:val="002C4410"/>
    <w:rsid w:val="002D19E2"/>
    <w:rsid w:val="002D5EDA"/>
    <w:rsid w:val="002D70D3"/>
    <w:rsid w:val="002E79B4"/>
    <w:rsid w:val="002F5188"/>
    <w:rsid w:val="00305CB8"/>
    <w:rsid w:val="00310235"/>
    <w:rsid w:val="00315F9B"/>
    <w:rsid w:val="003160CF"/>
    <w:rsid w:val="00321B99"/>
    <w:rsid w:val="00326B82"/>
    <w:rsid w:val="00331974"/>
    <w:rsid w:val="003323DF"/>
    <w:rsid w:val="00332AF3"/>
    <w:rsid w:val="003340EB"/>
    <w:rsid w:val="00362EDC"/>
    <w:rsid w:val="00367157"/>
    <w:rsid w:val="00372B92"/>
    <w:rsid w:val="003841D2"/>
    <w:rsid w:val="00393211"/>
    <w:rsid w:val="00396F25"/>
    <w:rsid w:val="00397CC2"/>
    <w:rsid w:val="003A1645"/>
    <w:rsid w:val="003A314B"/>
    <w:rsid w:val="003A7AE0"/>
    <w:rsid w:val="003C0D5C"/>
    <w:rsid w:val="003C2012"/>
    <w:rsid w:val="003C213E"/>
    <w:rsid w:val="003D2DDA"/>
    <w:rsid w:val="003D64B1"/>
    <w:rsid w:val="003D661B"/>
    <w:rsid w:val="003D7496"/>
    <w:rsid w:val="003E09C2"/>
    <w:rsid w:val="003E4371"/>
    <w:rsid w:val="003F08DE"/>
    <w:rsid w:val="003F1D79"/>
    <w:rsid w:val="003F41CF"/>
    <w:rsid w:val="003F51DC"/>
    <w:rsid w:val="003F6ACB"/>
    <w:rsid w:val="003F7818"/>
    <w:rsid w:val="004006CB"/>
    <w:rsid w:val="00403005"/>
    <w:rsid w:val="00406ACB"/>
    <w:rsid w:val="00407E28"/>
    <w:rsid w:val="00411C00"/>
    <w:rsid w:val="00414021"/>
    <w:rsid w:val="004166F7"/>
    <w:rsid w:val="00421296"/>
    <w:rsid w:val="004219D6"/>
    <w:rsid w:val="0042373F"/>
    <w:rsid w:val="0042667E"/>
    <w:rsid w:val="00432037"/>
    <w:rsid w:val="00443211"/>
    <w:rsid w:val="00443CCD"/>
    <w:rsid w:val="00445C22"/>
    <w:rsid w:val="0044728D"/>
    <w:rsid w:val="00475B98"/>
    <w:rsid w:val="00475FD8"/>
    <w:rsid w:val="00480A93"/>
    <w:rsid w:val="00483F6A"/>
    <w:rsid w:val="00487495"/>
    <w:rsid w:val="0049731E"/>
    <w:rsid w:val="0049774D"/>
    <w:rsid w:val="004A3AEF"/>
    <w:rsid w:val="004A637D"/>
    <w:rsid w:val="004B3D8E"/>
    <w:rsid w:val="004C0724"/>
    <w:rsid w:val="004C1217"/>
    <w:rsid w:val="004C7B08"/>
    <w:rsid w:val="004D0F97"/>
    <w:rsid w:val="004D3B8D"/>
    <w:rsid w:val="004D3CF5"/>
    <w:rsid w:val="004E16AC"/>
    <w:rsid w:val="004E2D26"/>
    <w:rsid w:val="004F0F15"/>
    <w:rsid w:val="004F12B3"/>
    <w:rsid w:val="004F2064"/>
    <w:rsid w:val="004F2B15"/>
    <w:rsid w:val="004F411A"/>
    <w:rsid w:val="004F4AFF"/>
    <w:rsid w:val="004F5A51"/>
    <w:rsid w:val="005065F4"/>
    <w:rsid w:val="00507183"/>
    <w:rsid w:val="005127BA"/>
    <w:rsid w:val="0051293B"/>
    <w:rsid w:val="00515126"/>
    <w:rsid w:val="0051796E"/>
    <w:rsid w:val="00520972"/>
    <w:rsid w:val="00522B85"/>
    <w:rsid w:val="00523582"/>
    <w:rsid w:val="00523A65"/>
    <w:rsid w:val="005246BF"/>
    <w:rsid w:val="00526431"/>
    <w:rsid w:val="00533099"/>
    <w:rsid w:val="00541138"/>
    <w:rsid w:val="00543BEA"/>
    <w:rsid w:val="00544765"/>
    <w:rsid w:val="005474AF"/>
    <w:rsid w:val="00547CE0"/>
    <w:rsid w:val="005519EE"/>
    <w:rsid w:val="00553475"/>
    <w:rsid w:val="00561208"/>
    <w:rsid w:val="00563E57"/>
    <w:rsid w:val="00574E5C"/>
    <w:rsid w:val="00582F83"/>
    <w:rsid w:val="00594ADC"/>
    <w:rsid w:val="005A087E"/>
    <w:rsid w:val="005B047B"/>
    <w:rsid w:val="005B581A"/>
    <w:rsid w:val="005C19B2"/>
    <w:rsid w:val="005C4F47"/>
    <w:rsid w:val="005C70DE"/>
    <w:rsid w:val="005D153F"/>
    <w:rsid w:val="005D45CF"/>
    <w:rsid w:val="005D4FC3"/>
    <w:rsid w:val="005D59B5"/>
    <w:rsid w:val="005E0BE4"/>
    <w:rsid w:val="005E244A"/>
    <w:rsid w:val="005E3455"/>
    <w:rsid w:val="005E53BE"/>
    <w:rsid w:val="005E7295"/>
    <w:rsid w:val="005F0FF5"/>
    <w:rsid w:val="005F7127"/>
    <w:rsid w:val="005F7241"/>
    <w:rsid w:val="00605578"/>
    <w:rsid w:val="006055B3"/>
    <w:rsid w:val="00607F11"/>
    <w:rsid w:val="00610BCC"/>
    <w:rsid w:val="00625792"/>
    <w:rsid w:val="006306D2"/>
    <w:rsid w:val="00630F0D"/>
    <w:rsid w:val="00632049"/>
    <w:rsid w:val="00634C4F"/>
    <w:rsid w:val="00646730"/>
    <w:rsid w:val="00655A1F"/>
    <w:rsid w:val="00656136"/>
    <w:rsid w:val="006646E8"/>
    <w:rsid w:val="00667E26"/>
    <w:rsid w:val="00673482"/>
    <w:rsid w:val="0067641C"/>
    <w:rsid w:val="0069433A"/>
    <w:rsid w:val="006A05ED"/>
    <w:rsid w:val="006A4FBE"/>
    <w:rsid w:val="006A5369"/>
    <w:rsid w:val="006B0A34"/>
    <w:rsid w:val="006C79DC"/>
    <w:rsid w:val="006D2F5D"/>
    <w:rsid w:val="006D7B4F"/>
    <w:rsid w:val="006E0107"/>
    <w:rsid w:val="006E4FD9"/>
    <w:rsid w:val="006F3BE1"/>
    <w:rsid w:val="006F6918"/>
    <w:rsid w:val="006F7C06"/>
    <w:rsid w:val="00700F26"/>
    <w:rsid w:val="00701F2C"/>
    <w:rsid w:val="00703DA5"/>
    <w:rsid w:val="0071291D"/>
    <w:rsid w:val="007135A6"/>
    <w:rsid w:val="00715474"/>
    <w:rsid w:val="00715FB8"/>
    <w:rsid w:val="00720A14"/>
    <w:rsid w:val="0072634C"/>
    <w:rsid w:val="00731CCE"/>
    <w:rsid w:val="0073272F"/>
    <w:rsid w:val="007518BA"/>
    <w:rsid w:val="0075309C"/>
    <w:rsid w:val="00754A18"/>
    <w:rsid w:val="007611C6"/>
    <w:rsid w:val="00761E95"/>
    <w:rsid w:val="00771A53"/>
    <w:rsid w:val="00773970"/>
    <w:rsid w:val="00786C4F"/>
    <w:rsid w:val="00795C8F"/>
    <w:rsid w:val="00796F17"/>
    <w:rsid w:val="007A3A48"/>
    <w:rsid w:val="007A3DFA"/>
    <w:rsid w:val="007A4A2B"/>
    <w:rsid w:val="007A4D36"/>
    <w:rsid w:val="007B50F8"/>
    <w:rsid w:val="007C0617"/>
    <w:rsid w:val="007C6D06"/>
    <w:rsid w:val="007D06CC"/>
    <w:rsid w:val="007D2275"/>
    <w:rsid w:val="007D440C"/>
    <w:rsid w:val="007D6022"/>
    <w:rsid w:val="007D6031"/>
    <w:rsid w:val="007E1E2F"/>
    <w:rsid w:val="007E4D1C"/>
    <w:rsid w:val="007E50C0"/>
    <w:rsid w:val="007F3F0F"/>
    <w:rsid w:val="007F678D"/>
    <w:rsid w:val="00801738"/>
    <w:rsid w:val="00801C59"/>
    <w:rsid w:val="008041F5"/>
    <w:rsid w:val="00810747"/>
    <w:rsid w:val="00814903"/>
    <w:rsid w:val="008179E7"/>
    <w:rsid w:val="00824620"/>
    <w:rsid w:val="00825D16"/>
    <w:rsid w:val="00826E43"/>
    <w:rsid w:val="0082750E"/>
    <w:rsid w:val="00830567"/>
    <w:rsid w:val="008373A6"/>
    <w:rsid w:val="0084695B"/>
    <w:rsid w:val="008505A0"/>
    <w:rsid w:val="00857995"/>
    <w:rsid w:val="00861284"/>
    <w:rsid w:val="00867754"/>
    <w:rsid w:val="00867CB9"/>
    <w:rsid w:val="008928C6"/>
    <w:rsid w:val="008972AD"/>
    <w:rsid w:val="008B618E"/>
    <w:rsid w:val="008B6D59"/>
    <w:rsid w:val="008C044F"/>
    <w:rsid w:val="008C29AA"/>
    <w:rsid w:val="008C59D1"/>
    <w:rsid w:val="008D0502"/>
    <w:rsid w:val="008D3D78"/>
    <w:rsid w:val="008D4D40"/>
    <w:rsid w:val="008D4F46"/>
    <w:rsid w:val="008D7167"/>
    <w:rsid w:val="008E1D40"/>
    <w:rsid w:val="008E2AF2"/>
    <w:rsid w:val="008E5133"/>
    <w:rsid w:val="00906001"/>
    <w:rsid w:val="00906089"/>
    <w:rsid w:val="00913AC0"/>
    <w:rsid w:val="00926C50"/>
    <w:rsid w:val="009315EF"/>
    <w:rsid w:val="00937B35"/>
    <w:rsid w:val="00943064"/>
    <w:rsid w:val="0094708A"/>
    <w:rsid w:val="009500A7"/>
    <w:rsid w:val="00951C18"/>
    <w:rsid w:val="009548E8"/>
    <w:rsid w:val="00954AC9"/>
    <w:rsid w:val="00961941"/>
    <w:rsid w:val="00962D84"/>
    <w:rsid w:val="00966E44"/>
    <w:rsid w:val="00991A0E"/>
    <w:rsid w:val="00993BE3"/>
    <w:rsid w:val="009A300A"/>
    <w:rsid w:val="009A652D"/>
    <w:rsid w:val="009B2943"/>
    <w:rsid w:val="009B6DB5"/>
    <w:rsid w:val="009C3859"/>
    <w:rsid w:val="009C73C2"/>
    <w:rsid w:val="009D02A7"/>
    <w:rsid w:val="009D22A8"/>
    <w:rsid w:val="009D2B31"/>
    <w:rsid w:val="009D71BE"/>
    <w:rsid w:val="009E1C40"/>
    <w:rsid w:val="009E63D5"/>
    <w:rsid w:val="009F4B6B"/>
    <w:rsid w:val="00A0369F"/>
    <w:rsid w:val="00A05464"/>
    <w:rsid w:val="00A12661"/>
    <w:rsid w:val="00A2122B"/>
    <w:rsid w:val="00A26F56"/>
    <w:rsid w:val="00A30089"/>
    <w:rsid w:val="00A310E9"/>
    <w:rsid w:val="00A34DD4"/>
    <w:rsid w:val="00A36BB6"/>
    <w:rsid w:val="00A44B00"/>
    <w:rsid w:val="00A5439F"/>
    <w:rsid w:val="00A671AC"/>
    <w:rsid w:val="00A72E4D"/>
    <w:rsid w:val="00A73C3E"/>
    <w:rsid w:val="00A7476E"/>
    <w:rsid w:val="00A8101F"/>
    <w:rsid w:val="00A832E4"/>
    <w:rsid w:val="00A914D6"/>
    <w:rsid w:val="00A944F6"/>
    <w:rsid w:val="00AB24D9"/>
    <w:rsid w:val="00AB7408"/>
    <w:rsid w:val="00AD6EA4"/>
    <w:rsid w:val="00AE20B4"/>
    <w:rsid w:val="00AE67ED"/>
    <w:rsid w:val="00AF09DD"/>
    <w:rsid w:val="00AF2949"/>
    <w:rsid w:val="00B02421"/>
    <w:rsid w:val="00B11177"/>
    <w:rsid w:val="00B12218"/>
    <w:rsid w:val="00B13B5A"/>
    <w:rsid w:val="00B13C4C"/>
    <w:rsid w:val="00B16308"/>
    <w:rsid w:val="00B257DE"/>
    <w:rsid w:val="00B347AB"/>
    <w:rsid w:val="00B3578E"/>
    <w:rsid w:val="00B35C29"/>
    <w:rsid w:val="00B35E75"/>
    <w:rsid w:val="00B37C16"/>
    <w:rsid w:val="00B40570"/>
    <w:rsid w:val="00B4593E"/>
    <w:rsid w:val="00B50F9C"/>
    <w:rsid w:val="00B525B2"/>
    <w:rsid w:val="00B53182"/>
    <w:rsid w:val="00B540CA"/>
    <w:rsid w:val="00B56D3B"/>
    <w:rsid w:val="00B56F62"/>
    <w:rsid w:val="00B60585"/>
    <w:rsid w:val="00B61943"/>
    <w:rsid w:val="00B664AF"/>
    <w:rsid w:val="00B71570"/>
    <w:rsid w:val="00B71FE5"/>
    <w:rsid w:val="00B848AC"/>
    <w:rsid w:val="00B92B4A"/>
    <w:rsid w:val="00B94F61"/>
    <w:rsid w:val="00BA6290"/>
    <w:rsid w:val="00BA74F1"/>
    <w:rsid w:val="00BB3D4D"/>
    <w:rsid w:val="00BB7A0D"/>
    <w:rsid w:val="00BC092B"/>
    <w:rsid w:val="00BC1C2B"/>
    <w:rsid w:val="00BC31A8"/>
    <w:rsid w:val="00BC3853"/>
    <w:rsid w:val="00BC4939"/>
    <w:rsid w:val="00BC57A2"/>
    <w:rsid w:val="00BD2A6F"/>
    <w:rsid w:val="00BE66C3"/>
    <w:rsid w:val="00BE775C"/>
    <w:rsid w:val="00BE7ABB"/>
    <w:rsid w:val="00BF0887"/>
    <w:rsid w:val="00BF472B"/>
    <w:rsid w:val="00C0543A"/>
    <w:rsid w:val="00C125D1"/>
    <w:rsid w:val="00C136E8"/>
    <w:rsid w:val="00C154C2"/>
    <w:rsid w:val="00C247B0"/>
    <w:rsid w:val="00C3464F"/>
    <w:rsid w:val="00C404F8"/>
    <w:rsid w:val="00C40D97"/>
    <w:rsid w:val="00C458FF"/>
    <w:rsid w:val="00C46E6D"/>
    <w:rsid w:val="00C50F4B"/>
    <w:rsid w:val="00C515AB"/>
    <w:rsid w:val="00C55D41"/>
    <w:rsid w:val="00C601E7"/>
    <w:rsid w:val="00C61ED7"/>
    <w:rsid w:val="00C63689"/>
    <w:rsid w:val="00C65F27"/>
    <w:rsid w:val="00C73272"/>
    <w:rsid w:val="00C74B8F"/>
    <w:rsid w:val="00C812A3"/>
    <w:rsid w:val="00C812F4"/>
    <w:rsid w:val="00C8161A"/>
    <w:rsid w:val="00C86EC1"/>
    <w:rsid w:val="00C90A77"/>
    <w:rsid w:val="00CA465A"/>
    <w:rsid w:val="00CA6B67"/>
    <w:rsid w:val="00CB058A"/>
    <w:rsid w:val="00CB05DA"/>
    <w:rsid w:val="00CB1439"/>
    <w:rsid w:val="00CB3F0D"/>
    <w:rsid w:val="00CB6F7D"/>
    <w:rsid w:val="00CC3D65"/>
    <w:rsid w:val="00CC71F8"/>
    <w:rsid w:val="00CD0B8C"/>
    <w:rsid w:val="00CD0FFE"/>
    <w:rsid w:val="00CD18C5"/>
    <w:rsid w:val="00CD63A8"/>
    <w:rsid w:val="00CE116C"/>
    <w:rsid w:val="00CE2C05"/>
    <w:rsid w:val="00CE4C11"/>
    <w:rsid w:val="00CE56EB"/>
    <w:rsid w:val="00CF0634"/>
    <w:rsid w:val="00CF0AA0"/>
    <w:rsid w:val="00CF1EEC"/>
    <w:rsid w:val="00CF2854"/>
    <w:rsid w:val="00CF72F2"/>
    <w:rsid w:val="00D00BC6"/>
    <w:rsid w:val="00D02156"/>
    <w:rsid w:val="00D07AA3"/>
    <w:rsid w:val="00D132F8"/>
    <w:rsid w:val="00D15F9C"/>
    <w:rsid w:val="00D23B55"/>
    <w:rsid w:val="00D26DA7"/>
    <w:rsid w:val="00D27D75"/>
    <w:rsid w:val="00D33070"/>
    <w:rsid w:val="00D35566"/>
    <w:rsid w:val="00D43531"/>
    <w:rsid w:val="00D446A1"/>
    <w:rsid w:val="00D51A8C"/>
    <w:rsid w:val="00D5334F"/>
    <w:rsid w:val="00D608B2"/>
    <w:rsid w:val="00D645A5"/>
    <w:rsid w:val="00D66D20"/>
    <w:rsid w:val="00D7239A"/>
    <w:rsid w:val="00D72A85"/>
    <w:rsid w:val="00D83A9A"/>
    <w:rsid w:val="00D8428F"/>
    <w:rsid w:val="00D84690"/>
    <w:rsid w:val="00DA153B"/>
    <w:rsid w:val="00DA33A0"/>
    <w:rsid w:val="00DB1FB6"/>
    <w:rsid w:val="00DB3772"/>
    <w:rsid w:val="00DD0D66"/>
    <w:rsid w:val="00DD1701"/>
    <w:rsid w:val="00DD26B8"/>
    <w:rsid w:val="00DD615D"/>
    <w:rsid w:val="00DD7FBC"/>
    <w:rsid w:val="00DE2966"/>
    <w:rsid w:val="00DE5EC4"/>
    <w:rsid w:val="00E14214"/>
    <w:rsid w:val="00E14686"/>
    <w:rsid w:val="00E22CD6"/>
    <w:rsid w:val="00E456C6"/>
    <w:rsid w:val="00E47BB5"/>
    <w:rsid w:val="00E510C9"/>
    <w:rsid w:val="00E52288"/>
    <w:rsid w:val="00E522F3"/>
    <w:rsid w:val="00E553AF"/>
    <w:rsid w:val="00E559B2"/>
    <w:rsid w:val="00E63926"/>
    <w:rsid w:val="00E66356"/>
    <w:rsid w:val="00E7777A"/>
    <w:rsid w:val="00E82866"/>
    <w:rsid w:val="00E938BE"/>
    <w:rsid w:val="00E952D5"/>
    <w:rsid w:val="00E956A1"/>
    <w:rsid w:val="00EA2B17"/>
    <w:rsid w:val="00EA4000"/>
    <w:rsid w:val="00EB4F08"/>
    <w:rsid w:val="00EB55FD"/>
    <w:rsid w:val="00EB6528"/>
    <w:rsid w:val="00EC2ED0"/>
    <w:rsid w:val="00EC4707"/>
    <w:rsid w:val="00EC4EB3"/>
    <w:rsid w:val="00EC7E5B"/>
    <w:rsid w:val="00ED2EB5"/>
    <w:rsid w:val="00ED7E80"/>
    <w:rsid w:val="00EE0F9A"/>
    <w:rsid w:val="00EE4A4C"/>
    <w:rsid w:val="00EF0E88"/>
    <w:rsid w:val="00EF3788"/>
    <w:rsid w:val="00EF390D"/>
    <w:rsid w:val="00F00C37"/>
    <w:rsid w:val="00F041DB"/>
    <w:rsid w:val="00F14338"/>
    <w:rsid w:val="00F20352"/>
    <w:rsid w:val="00F2439A"/>
    <w:rsid w:val="00F26752"/>
    <w:rsid w:val="00F3095B"/>
    <w:rsid w:val="00F326F8"/>
    <w:rsid w:val="00F333F4"/>
    <w:rsid w:val="00F35AD5"/>
    <w:rsid w:val="00F36BD8"/>
    <w:rsid w:val="00F4323C"/>
    <w:rsid w:val="00F5107C"/>
    <w:rsid w:val="00F5145C"/>
    <w:rsid w:val="00F55172"/>
    <w:rsid w:val="00F55394"/>
    <w:rsid w:val="00F56E6B"/>
    <w:rsid w:val="00F61A14"/>
    <w:rsid w:val="00F63403"/>
    <w:rsid w:val="00F74D62"/>
    <w:rsid w:val="00F74E27"/>
    <w:rsid w:val="00F7652B"/>
    <w:rsid w:val="00F76C6C"/>
    <w:rsid w:val="00F81515"/>
    <w:rsid w:val="00F85894"/>
    <w:rsid w:val="00F86DC6"/>
    <w:rsid w:val="00F96199"/>
    <w:rsid w:val="00F973F7"/>
    <w:rsid w:val="00FA5280"/>
    <w:rsid w:val="00FB7039"/>
    <w:rsid w:val="00FC19DF"/>
    <w:rsid w:val="00FC1DF3"/>
    <w:rsid w:val="00FD26A5"/>
    <w:rsid w:val="00FD6737"/>
    <w:rsid w:val="00FD6A80"/>
    <w:rsid w:val="00FD7138"/>
    <w:rsid w:val="00FE1674"/>
    <w:rsid w:val="00FF471F"/>
    <w:rsid w:val="00FF7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3C974"/>
  <w15:docId w15:val="{375BD008-81CB-4316-98BF-8E3B148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2A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0242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02421"/>
    <w:rPr>
      <w:sz w:val="20"/>
      <w:szCs w:val="20"/>
    </w:rPr>
  </w:style>
  <w:style w:type="character" w:styleId="Odwoanieprzypisudolnego">
    <w:name w:val="footnote reference"/>
    <w:basedOn w:val="Domylnaczcionkaakapitu"/>
    <w:uiPriority w:val="99"/>
    <w:semiHidden/>
    <w:unhideWhenUsed/>
    <w:rsid w:val="00B02421"/>
    <w:rPr>
      <w:vertAlign w:val="superscript"/>
    </w:rPr>
  </w:style>
  <w:style w:type="character" w:styleId="Hipercze">
    <w:name w:val="Hyperlink"/>
    <w:basedOn w:val="Domylnaczcionkaakapitu"/>
    <w:uiPriority w:val="99"/>
    <w:unhideWhenUsed/>
    <w:rsid w:val="00B02421"/>
    <w:rPr>
      <w:color w:val="0563C1" w:themeColor="hyperlink"/>
      <w:u w:val="single"/>
    </w:rPr>
  </w:style>
  <w:style w:type="paragraph" w:styleId="Akapitzlist">
    <w:name w:val="List Paragraph"/>
    <w:basedOn w:val="Normalny"/>
    <w:uiPriority w:val="34"/>
    <w:qFormat/>
    <w:rsid w:val="006F3BE1"/>
    <w:pPr>
      <w:ind w:left="720"/>
      <w:contextualSpacing/>
    </w:pPr>
  </w:style>
  <w:style w:type="paragraph" w:styleId="Tekstdymka">
    <w:name w:val="Balloon Text"/>
    <w:basedOn w:val="Normalny"/>
    <w:link w:val="TekstdymkaZnak"/>
    <w:uiPriority w:val="99"/>
    <w:semiHidden/>
    <w:unhideWhenUsed/>
    <w:rsid w:val="00F143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38"/>
    <w:rPr>
      <w:rFonts w:ascii="Tahoma" w:hAnsi="Tahoma" w:cs="Tahoma"/>
      <w:sz w:val="16"/>
      <w:szCs w:val="16"/>
    </w:rPr>
  </w:style>
  <w:style w:type="character" w:styleId="Odwoaniedokomentarza">
    <w:name w:val="annotation reference"/>
    <w:basedOn w:val="Domylnaczcionkaakapitu"/>
    <w:uiPriority w:val="99"/>
    <w:semiHidden/>
    <w:unhideWhenUsed/>
    <w:rsid w:val="008C044F"/>
    <w:rPr>
      <w:sz w:val="16"/>
      <w:szCs w:val="16"/>
    </w:rPr>
  </w:style>
  <w:style w:type="paragraph" w:styleId="Tekstkomentarza">
    <w:name w:val="annotation text"/>
    <w:basedOn w:val="Normalny"/>
    <w:link w:val="TekstkomentarzaZnak"/>
    <w:uiPriority w:val="99"/>
    <w:semiHidden/>
    <w:unhideWhenUsed/>
    <w:rsid w:val="008C04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44F"/>
    <w:rPr>
      <w:sz w:val="20"/>
      <w:szCs w:val="20"/>
    </w:rPr>
  </w:style>
  <w:style w:type="paragraph" w:styleId="Tematkomentarza">
    <w:name w:val="annotation subject"/>
    <w:basedOn w:val="Tekstkomentarza"/>
    <w:next w:val="Tekstkomentarza"/>
    <w:link w:val="TematkomentarzaZnak"/>
    <w:uiPriority w:val="99"/>
    <w:semiHidden/>
    <w:unhideWhenUsed/>
    <w:rsid w:val="008C044F"/>
    <w:rPr>
      <w:b/>
      <w:bCs/>
    </w:rPr>
  </w:style>
  <w:style w:type="character" w:customStyle="1" w:styleId="TematkomentarzaZnak">
    <w:name w:val="Temat komentarza Znak"/>
    <w:basedOn w:val="TekstkomentarzaZnak"/>
    <w:link w:val="Tematkomentarza"/>
    <w:uiPriority w:val="99"/>
    <w:semiHidden/>
    <w:rsid w:val="008C044F"/>
    <w:rPr>
      <w:b/>
      <w:bCs/>
      <w:sz w:val="20"/>
      <w:szCs w:val="20"/>
    </w:rPr>
  </w:style>
  <w:style w:type="paragraph" w:styleId="Nagwek">
    <w:name w:val="header"/>
    <w:basedOn w:val="Normalny"/>
    <w:link w:val="NagwekZnak"/>
    <w:uiPriority w:val="99"/>
    <w:unhideWhenUsed/>
    <w:rsid w:val="006A53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5369"/>
  </w:style>
  <w:style w:type="paragraph" w:styleId="Stopka">
    <w:name w:val="footer"/>
    <w:basedOn w:val="Normalny"/>
    <w:link w:val="StopkaZnak"/>
    <w:uiPriority w:val="99"/>
    <w:unhideWhenUsed/>
    <w:rsid w:val="006A53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369"/>
  </w:style>
  <w:style w:type="character" w:customStyle="1" w:styleId="Teksttreci12">
    <w:name w:val="Tekst treści (12)_"/>
    <w:link w:val="Teksttreci120"/>
    <w:uiPriority w:val="99"/>
    <w:rsid w:val="00475B98"/>
    <w:rPr>
      <w:rFonts w:ascii="Times New Roman" w:hAnsi="Times New Roman" w:cs="Times New Roman"/>
      <w:shd w:val="clear" w:color="auto" w:fill="FFFFFF"/>
    </w:rPr>
  </w:style>
  <w:style w:type="paragraph" w:customStyle="1" w:styleId="Teksttreci120">
    <w:name w:val="Tekst treści (12)"/>
    <w:basedOn w:val="Normalny"/>
    <w:link w:val="Teksttreci12"/>
    <w:uiPriority w:val="99"/>
    <w:rsid w:val="00475B98"/>
    <w:pPr>
      <w:widowControl w:val="0"/>
      <w:shd w:val="clear" w:color="auto" w:fill="FFFFFF"/>
      <w:spacing w:after="180" w:line="240" w:lineRule="atLeast"/>
      <w:ind w:hanging="720"/>
      <w:jc w:val="both"/>
    </w:pPr>
    <w:rPr>
      <w:rFonts w:ascii="Times New Roman" w:hAnsi="Times New Roman" w:cs="Times New Roman"/>
    </w:rPr>
  </w:style>
  <w:style w:type="character" w:customStyle="1" w:styleId="Teksttreci12Pogrubienie">
    <w:name w:val="Tekst treści (12) + Pogrubienie"/>
    <w:uiPriority w:val="99"/>
    <w:rsid w:val="00475B98"/>
    <w:rPr>
      <w:rFonts w:ascii="Times New Roman" w:hAnsi="Times New Roman" w:cs="Times New Roman"/>
      <w:b/>
      <w:bCs/>
      <w:u w:val="single"/>
    </w:rPr>
  </w:style>
  <w:style w:type="paragraph" w:customStyle="1" w:styleId="Default">
    <w:name w:val="Default"/>
    <w:rsid w:val="00BF088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D533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34F"/>
    <w:rPr>
      <w:sz w:val="20"/>
      <w:szCs w:val="20"/>
    </w:rPr>
  </w:style>
  <w:style w:type="character" w:styleId="Odwoanieprzypisukocowego">
    <w:name w:val="endnote reference"/>
    <w:basedOn w:val="Domylnaczcionkaakapitu"/>
    <w:uiPriority w:val="99"/>
    <w:semiHidden/>
    <w:unhideWhenUsed/>
    <w:rsid w:val="00D5334F"/>
    <w:rPr>
      <w:vertAlign w:val="superscript"/>
    </w:rPr>
  </w:style>
  <w:style w:type="paragraph" w:customStyle="1" w:styleId="UdSC-tekst10">
    <w:name w:val="UdSC-tekst_10"/>
    <w:link w:val="UdSC-tekst10Char"/>
    <w:qFormat/>
    <w:rsid w:val="00C46E6D"/>
    <w:rPr>
      <w:rFonts w:ascii="Roboto" w:hAnsi="Roboto" w:cs="Arial"/>
      <w:color w:val="262626" w:themeColor="text1" w:themeTint="D9"/>
      <w:sz w:val="20"/>
      <w:szCs w:val="20"/>
    </w:rPr>
  </w:style>
  <w:style w:type="character" w:customStyle="1" w:styleId="UdSC-tekst10Char">
    <w:name w:val="UdSC-tekst_10 Char"/>
    <w:basedOn w:val="NagwekZnak"/>
    <w:link w:val="UdSC-tekst10"/>
    <w:rsid w:val="00C46E6D"/>
    <w:rPr>
      <w:rFonts w:ascii="Roboto" w:hAnsi="Roboto" w:cs="Arial"/>
      <w:color w:val="262626" w:themeColor="text1" w:themeTint="D9"/>
      <w:sz w:val="20"/>
      <w:szCs w:val="20"/>
    </w:rPr>
  </w:style>
  <w:style w:type="table" w:styleId="Tabela-Siatka">
    <w:name w:val="Table Grid"/>
    <w:basedOn w:val="Standardowy"/>
    <w:uiPriority w:val="39"/>
    <w:rsid w:val="00CC3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5580">
      <w:bodyDiv w:val="1"/>
      <w:marLeft w:val="0"/>
      <w:marRight w:val="0"/>
      <w:marTop w:val="0"/>
      <w:marBottom w:val="0"/>
      <w:divBdr>
        <w:top w:val="none" w:sz="0" w:space="0" w:color="auto"/>
        <w:left w:val="none" w:sz="0" w:space="0" w:color="auto"/>
        <w:bottom w:val="none" w:sz="0" w:space="0" w:color="auto"/>
        <w:right w:val="none" w:sz="0" w:space="0" w:color="auto"/>
      </w:divBdr>
    </w:div>
    <w:div w:id="395012773">
      <w:bodyDiv w:val="1"/>
      <w:marLeft w:val="0"/>
      <w:marRight w:val="0"/>
      <w:marTop w:val="0"/>
      <w:marBottom w:val="0"/>
      <w:divBdr>
        <w:top w:val="none" w:sz="0" w:space="0" w:color="auto"/>
        <w:left w:val="none" w:sz="0" w:space="0" w:color="auto"/>
        <w:bottom w:val="none" w:sz="0" w:space="0" w:color="auto"/>
        <w:right w:val="none" w:sz="0" w:space="0" w:color="auto"/>
      </w:divBdr>
    </w:div>
    <w:div w:id="489441629">
      <w:bodyDiv w:val="1"/>
      <w:marLeft w:val="0"/>
      <w:marRight w:val="0"/>
      <w:marTop w:val="0"/>
      <w:marBottom w:val="0"/>
      <w:divBdr>
        <w:top w:val="none" w:sz="0" w:space="0" w:color="auto"/>
        <w:left w:val="none" w:sz="0" w:space="0" w:color="auto"/>
        <w:bottom w:val="none" w:sz="0" w:space="0" w:color="auto"/>
        <w:right w:val="none" w:sz="0" w:space="0" w:color="auto"/>
      </w:divBdr>
    </w:div>
    <w:div w:id="991056344">
      <w:bodyDiv w:val="1"/>
      <w:marLeft w:val="0"/>
      <w:marRight w:val="0"/>
      <w:marTop w:val="0"/>
      <w:marBottom w:val="0"/>
      <w:divBdr>
        <w:top w:val="none" w:sz="0" w:space="0" w:color="auto"/>
        <w:left w:val="none" w:sz="0" w:space="0" w:color="auto"/>
        <w:bottom w:val="none" w:sz="0" w:space="0" w:color="auto"/>
        <w:right w:val="none" w:sz="0" w:space="0" w:color="auto"/>
      </w:divBdr>
    </w:div>
    <w:div w:id="1222132524">
      <w:bodyDiv w:val="1"/>
      <w:marLeft w:val="0"/>
      <w:marRight w:val="0"/>
      <w:marTop w:val="0"/>
      <w:marBottom w:val="0"/>
      <w:divBdr>
        <w:top w:val="none" w:sz="0" w:space="0" w:color="auto"/>
        <w:left w:val="none" w:sz="0" w:space="0" w:color="auto"/>
        <w:bottom w:val="none" w:sz="0" w:space="0" w:color="auto"/>
        <w:right w:val="none" w:sz="0" w:space="0" w:color="auto"/>
      </w:divBdr>
    </w:div>
    <w:div w:id="209408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E417-E991-4197-A7A9-24BB9C6E0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3479</Words>
  <Characters>20880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Sekita Grzegorz</dc:creator>
  <cp:lastModifiedBy>Chojnowska Emilia</cp:lastModifiedBy>
  <cp:revision>6</cp:revision>
  <cp:lastPrinted>2015-02-02T12:51:00Z</cp:lastPrinted>
  <dcterms:created xsi:type="dcterms:W3CDTF">2020-10-08T10:44:00Z</dcterms:created>
  <dcterms:modified xsi:type="dcterms:W3CDTF">2020-10-09T12:34:00Z</dcterms:modified>
</cp:coreProperties>
</file>